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DB4972">
      <w:r>
        <w:rPr>
          <w:noProof/>
          <w:lang w:val="en-US"/>
        </w:rPr>
        <w:pict>
          <v:rect id="_x0000_s1089" style="position:absolute;margin-left:40.4pt;margin-top:-48.3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rsidP="00DB4972">
                  <w:pPr>
                    <w:jc w:val="center"/>
                    <w:rPr>
                      <w:color w:val="FFFFFF"/>
                      <w:sz w:val="48"/>
                      <w:szCs w:val="52"/>
                    </w:rPr>
                  </w:pPr>
                  <w:r>
                    <w:rPr>
                      <w:sz w:val="52"/>
                      <w:szCs w:val="52"/>
                      <w:lang w:val="en-US"/>
                    </w:rPr>
                    <w:t>201</w:t>
                  </w:r>
                  <w:r w:rsidR="00DB4972">
                    <w:rPr>
                      <w:sz w:val="52"/>
                      <w:szCs w:val="52"/>
                      <w:lang w:val="en-US"/>
                    </w:rPr>
                    <w:t>7</w:t>
                  </w:r>
                </w:p>
              </w:txbxContent>
            </v:textbox>
          </v:rect>
        </w:pict>
      </w:r>
      <w:r w:rsidR="00E4424D">
        <w:rPr>
          <w:noProof/>
          <w:lang w:val="en-US"/>
        </w:rPr>
        <w:pict>
          <v:rect id="_x0000_s1081" style="position:absolute;margin-left:80.85pt;margin-top:-19.25pt;width:413.05pt;height:730.2pt;z-index:251686912;mso-width-relative:margin" o:regroupid="2" filled="f" fillcolor="#737373" strokecolor="white" strokeweight="1pt">
            <v:shadow color="#d8d8d8" offset="3pt,3pt" offset2="2pt,2pt"/>
            <v:textbox style="mso-next-textbox:#_x0000_s1081" inset="18pt,108pt,36pt">
              <w:txbxContent>
                <w:p w:rsidR="003B5C88" w:rsidRPr="003B5C88" w:rsidRDefault="003B5C88" w:rsidP="003B5C88">
                  <w:pPr>
                    <w:pStyle w:val="NoSpacing"/>
                    <w:rPr>
                      <w:sz w:val="80"/>
                      <w:szCs w:val="80"/>
                    </w:rPr>
                  </w:pPr>
                  <w:r w:rsidRPr="003B5C88">
                    <w:rPr>
                      <w:sz w:val="80"/>
                      <w:szCs w:val="80"/>
                    </w:rPr>
                    <w:t xml:space="preserve">CORPORATE REPORTING: </w:t>
                  </w:r>
                </w:p>
                <w:p w:rsidR="00696AB3" w:rsidRPr="00696AB3" w:rsidRDefault="003B5C88" w:rsidP="003B5C88">
                  <w:pPr>
                    <w:pStyle w:val="NoSpacing"/>
                    <w:rPr>
                      <w:color w:val="FFFFFF"/>
                      <w:sz w:val="40"/>
                      <w:szCs w:val="40"/>
                    </w:rPr>
                  </w:pPr>
                  <w:r w:rsidRPr="003B5C88">
                    <w:rPr>
                      <w:sz w:val="80"/>
                      <w:szCs w:val="80"/>
                    </w:rPr>
                    <w:t xml:space="preserve">Best Practices – Unravelling Annual Reports and Uncovering the Gems </w:t>
                  </w:r>
                </w:p>
                <w:p w:rsidR="00696AB3" w:rsidRDefault="00696AB3">
                  <w:pPr>
                    <w:pStyle w:val="NoSpacing"/>
                    <w:rPr>
                      <w:color w:val="FFFFFF"/>
                    </w:rPr>
                  </w:pPr>
                </w:p>
                <w:p w:rsidR="00D33013" w:rsidRPr="00696AB3" w:rsidRDefault="00D33013">
                  <w:pPr>
                    <w:pStyle w:val="NoSpacing"/>
                    <w:rPr>
                      <w:color w:val="FFFFFF"/>
                    </w:rPr>
                  </w:pPr>
                </w:p>
                <w:p w:rsidR="00696AB3" w:rsidRPr="00696AB3" w:rsidRDefault="003B5C88" w:rsidP="003B5C88">
                  <w:pPr>
                    <w:pStyle w:val="NoSpacing"/>
                    <w:rPr>
                      <w:color w:val="FFFFFF"/>
                    </w:rPr>
                  </w:pPr>
                  <w:r w:rsidRPr="003B5C88">
                    <w:t>The topic is designed to provide a comprehensive, practical and invaluable insight into the realm of corporate reporting – best practices, unravelling Annual Reports and uncovering the gems to provide easier understanding and to facilitate making informed decisions by preparers, users, directors, investors and all other stakeholders.</w:t>
                  </w:r>
                </w:p>
              </w:txbxContent>
            </v:textbox>
          </v:rect>
        </w:pict>
      </w:r>
      <w:r w:rsidR="00E4424D">
        <w:rPr>
          <w:noProof/>
          <w:lang w:val="en-US"/>
        </w:rPr>
        <w:pict>
          <v:rect id="_x0000_s1107" style="position:absolute;margin-left:-71.55pt;margin-top:-78.25pt;width:148.65pt;height:851.45pt;z-index:251652095" fillcolor="#eeece1 [3214]" stroked="f">
            <v:fill color2="#fcfcf9"/>
          </v:rect>
        </w:pict>
      </w:r>
    </w:p>
    <w:p w:rsidR="00696AB3" w:rsidRDefault="00696AB3"/>
    <w:p w:rsidR="00D35263" w:rsidRDefault="00E4424D">
      <w:r>
        <w:rPr>
          <w:noProof/>
          <w:lang w:val="en-US"/>
        </w:rPr>
        <w:pict>
          <v:group id="_x0000_s1108" style="position:absolute;margin-left:-55.25pt;margin-top:116.25pt;width:132.3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E4424D">
      <w:r w:rsidRPr="00E4424D">
        <w:rPr>
          <w:rFonts w:asciiTheme="minorHAnsi" w:hAnsiTheme="minorHAnsi"/>
          <w:noProof/>
          <w:lang w:val="en-US"/>
        </w:rPr>
        <w:lastRenderedPageBreak/>
        <w:pict>
          <v:roundrect id="_x0000_s1046" style="position:absolute;margin-left:-6.8pt;margin-top:8.65pt;width:150.55pt;height:23.4pt;z-index:-251656192" arcsize="10923f">
            <v:shadow on="t" offset="3pt" offset2="2pt"/>
            <v:textbox>
              <w:txbxContent>
                <w:p w:rsidR="001034F5" w:rsidRPr="001034F5" w:rsidRDefault="001034F5">
                  <w:pPr>
                    <w:rPr>
                      <w:rFonts w:asciiTheme="minorHAnsi" w:hAnsiTheme="minorHAnsi"/>
                      <w:sz w:val="20"/>
                    </w:rPr>
                  </w:pPr>
                  <w:r w:rsidRPr="001034F5">
                    <w:rPr>
                      <w:rFonts w:asciiTheme="minorHAnsi" w:hAnsiTheme="minorHAnsi"/>
                      <w:sz w:val="20"/>
                    </w:rPr>
                    <w:t>CORPORATE OBJECTIVE</w:t>
                  </w:r>
                </w:p>
              </w:txbxContent>
            </v:textbox>
          </v:roundrect>
        </w:pict>
      </w:r>
    </w:p>
    <w:p w:rsidR="00B26841" w:rsidRPr="00B26841" w:rsidRDefault="00B26841" w:rsidP="003F6F40">
      <w:pPr>
        <w:rPr>
          <w:rFonts w:asciiTheme="minorHAnsi" w:hAnsiTheme="minorHAnsi"/>
        </w:rPr>
        <w:sectPr w:rsidR="00B26841" w:rsidRPr="00B26841" w:rsidSect="00DB4972">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sep="1" w:space="720"/>
          <w:titlePg/>
          <w:docGrid w:linePitch="299"/>
        </w:sectPr>
      </w:pPr>
    </w:p>
    <w:p w:rsidR="003F6F40" w:rsidRDefault="003F6F40" w:rsidP="003F6F40">
      <w:pPr>
        <w:rPr>
          <w:rFonts w:asciiTheme="minorHAnsi" w:hAnsiTheme="minorHAnsi"/>
        </w:rPr>
      </w:pPr>
    </w:p>
    <w:p w:rsidR="001034F5" w:rsidRPr="00B26841" w:rsidRDefault="001034F5" w:rsidP="003F6F40">
      <w:pPr>
        <w:rPr>
          <w:rFonts w:asciiTheme="minorHAnsi" w:hAnsiTheme="minorHAnsi"/>
        </w:rPr>
      </w:pPr>
    </w:p>
    <w:p w:rsidR="001034F5" w:rsidRPr="001034F5" w:rsidRDefault="001034F5" w:rsidP="001034F5">
      <w:pPr>
        <w:jc w:val="both"/>
        <w:rPr>
          <w:rFonts w:asciiTheme="minorHAnsi" w:hAnsiTheme="minorHAnsi"/>
          <w:sz w:val="20"/>
        </w:rPr>
      </w:pPr>
      <w:r w:rsidRPr="001034F5">
        <w:rPr>
          <w:rFonts w:asciiTheme="minorHAnsi" w:hAnsiTheme="minorHAnsi"/>
          <w:sz w:val="20"/>
        </w:rPr>
        <w:t xml:space="preserve">The topic is designed to provide a comprehensive, practical and invaluable insight into the realm of corporate reporting – best practices, unravelling Annual Reports and uncovering the gems to provide easier understanding and to facilitate making informed decisions by preparers, users, directors, investors and all other stakeholders. </w:t>
      </w:r>
    </w:p>
    <w:p w:rsidR="001034F5" w:rsidRPr="001034F5" w:rsidRDefault="001034F5" w:rsidP="001034F5">
      <w:pPr>
        <w:jc w:val="both"/>
        <w:rPr>
          <w:rFonts w:asciiTheme="minorHAnsi" w:hAnsiTheme="minorHAnsi"/>
          <w:sz w:val="20"/>
        </w:rPr>
      </w:pPr>
    </w:p>
    <w:p w:rsidR="001034F5" w:rsidRPr="001034F5" w:rsidRDefault="001034F5" w:rsidP="001034F5">
      <w:pPr>
        <w:jc w:val="both"/>
        <w:rPr>
          <w:rFonts w:asciiTheme="minorHAnsi" w:hAnsiTheme="minorHAnsi"/>
          <w:sz w:val="20"/>
        </w:rPr>
      </w:pPr>
      <w:r w:rsidRPr="001034F5">
        <w:rPr>
          <w:rFonts w:asciiTheme="minorHAnsi" w:hAnsiTheme="minorHAnsi"/>
          <w:sz w:val="20"/>
        </w:rPr>
        <w:t>Corporate reporting may connote various meanings to different people ranging from Annual Reports, Integrated Reporting and reporting on corporate responsibility, financials, corporate governance, and so on. However, essentially it is the Annual Report which is the core and deemed the “mother” of all reports as it also encapsulates all other relevant reports. This event will primarily focus more on the Annual Report which inevitably will also touch briefly on all other reports. As the word, “comprehensive” suggests, the study will entail “exploring” the Annual Report in great detail, with best practices encompassing various areas not just on form such as presentation, formatting but more importantly on the substance covering corporate governance policies and practices, corporate social responsibility (CSR), financials and other useful and important disclosures. It is a “given” that an Annual Report will provide value-add but by incorporating the best practices, we hope to produce a strong and “compelling” report which will be coveted and also the envy of many.</w:t>
      </w:r>
    </w:p>
    <w:p w:rsidR="001034F5" w:rsidRPr="001034F5" w:rsidRDefault="001034F5" w:rsidP="001034F5">
      <w:pPr>
        <w:jc w:val="both"/>
        <w:rPr>
          <w:rFonts w:asciiTheme="minorHAnsi" w:hAnsiTheme="minorHAnsi"/>
          <w:sz w:val="20"/>
        </w:rPr>
      </w:pPr>
    </w:p>
    <w:p w:rsidR="003F6F40" w:rsidRPr="00B26841" w:rsidRDefault="001034F5" w:rsidP="001034F5">
      <w:pPr>
        <w:jc w:val="both"/>
        <w:rPr>
          <w:rFonts w:asciiTheme="minorHAnsi" w:hAnsiTheme="minorHAnsi"/>
        </w:rPr>
      </w:pPr>
      <w:r w:rsidRPr="001034F5">
        <w:rPr>
          <w:rFonts w:asciiTheme="minorHAnsi" w:hAnsiTheme="minorHAnsi"/>
          <w:sz w:val="20"/>
        </w:rPr>
        <w:t>After this workshop, you will not only have a better insight and appreciation of corporate reporting but also able to interpret the contents with greater confidence to harness its usefulness.</w:t>
      </w:r>
    </w:p>
    <w:p w:rsidR="003F6F40" w:rsidRPr="00B26841" w:rsidRDefault="00E4424D" w:rsidP="003F6F40">
      <w:pPr>
        <w:rPr>
          <w:rFonts w:asciiTheme="minorHAnsi" w:hAnsiTheme="minorHAnsi"/>
        </w:rPr>
      </w:pPr>
      <w:r>
        <w:rPr>
          <w:rFonts w:asciiTheme="minorHAnsi" w:hAnsiTheme="minorHAnsi"/>
          <w:noProof/>
          <w:lang w:val="en-US"/>
        </w:rPr>
        <w:pict>
          <v:roundrect id="_x0000_s1049" style="position:absolute;margin-left:-6.8pt;margin-top:8.7pt;width:150.55pt;height:23.4pt;z-index:-251653120" arcsize="10923f">
            <v:shadow on="t" offset="3pt" offset2="2pt"/>
            <v:textbox style="mso-next-textbox:#_x0000_s1049">
              <w:txbxContent>
                <w:p w:rsidR="001034F5" w:rsidRPr="001034F5" w:rsidRDefault="001034F5">
                  <w:pPr>
                    <w:rPr>
                      <w:rFonts w:asciiTheme="minorHAnsi" w:hAnsiTheme="minorHAnsi"/>
                      <w:sz w:val="20"/>
                    </w:rPr>
                  </w:pPr>
                  <w:r>
                    <w:rPr>
                      <w:rFonts w:asciiTheme="minorHAnsi" w:hAnsiTheme="minorHAnsi"/>
                      <w:sz w:val="20"/>
                    </w:rPr>
                    <w:t>COURSE CONTENT</w:t>
                  </w:r>
                </w:p>
              </w:txbxContent>
            </v:textbox>
          </v:roundrect>
        </w:pict>
      </w:r>
    </w:p>
    <w:p w:rsidR="003F6F40" w:rsidRDefault="003F6F40" w:rsidP="003F6F40">
      <w:pPr>
        <w:rPr>
          <w:rFonts w:asciiTheme="minorHAnsi" w:hAnsiTheme="minorHAnsi"/>
        </w:rPr>
      </w:pPr>
    </w:p>
    <w:p w:rsidR="00B26841" w:rsidRDefault="00B26841" w:rsidP="003F6F40">
      <w:pPr>
        <w:rPr>
          <w:rFonts w:asciiTheme="minorHAnsi" w:hAnsiTheme="minorHAnsi"/>
        </w:rPr>
      </w:pPr>
    </w:p>
    <w:p w:rsidR="001034F5" w:rsidRPr="001034F5" w:rsidRDefault="001034F5" w:rsidP="00DB3557">
      <w:pPr>
        <w:pStyle w:val="ListParagraph"/>
        <w:numPr>
          <w:ilvl w:val="0"/>
          <w:numId w:val="8"/>
        </w:numPr>
        <w:spacing w:after="0" w:line="240" w:lineRule="auto"/>
        <w:ind w:hanging="426"/>
        <w:rPr>
          <w:rFonts w:asciiTheme="minorHAnsi" w:hAnsiTheme="minorHAnsi"/>
          <w:sz w:val="20"/>
        </w:rPr>
      </w:pPr>
      <w:r w:rsidRPr="001034F5">
        <w:rPr>
          <w:rFonts w:asciiTheme="minorHAnsi" w:hAnsiTheme="minorHAnsi"/>
          <w:sz w:val="20"/>
        </w:rPr>
        <w:t>Corporate Reporting –What, Why, How?</w:t>
      </w:r>
    </w:p>
    <w:p w:rsidR="001034F5" w:rsidRPr="001034F5" w:rsidRDefault="001034F5" w:rsidP="00DB3557">
      <w:pPr>
        <w:pStyle w:val="ListParagraph"/>
        <w:numPr>
          <w:ilvl w:val="0"/>
          <w:numId w:val="8"/>
        </w:numPr>
        <w:spacing w:after="0" w:line="240" w:lineRule="auto"/>
        <w:ind w:hanging="426"/>
        <w:rPr>
          <w:rFonts w:asciiTheme="minorHAnsi" w:hAnsiTheme="minorHAnsi"/>
          <w:sz w:val="20"/>
        </w:rPr>
      </w:pPr>
      <w:r w:rsidRPr="001034F5">
        <w:rPr>
          <w:rFonts w:asciiTheme="minorHAnsi" w:hAnsiTheme="minorHAnsi"/>
          <w:sz w:val="20"/>
        </w:rPr>
        <w:t>Corporate Reporting –Development, Gaps, Challenges and Expectations</w:t>
      </w:r>
    </w:p>
    <w:p w:rsidR="001034F5" w:rsidRPr="001034F5" w:rsidRDefault="001034F5" w:rsidP="00DB3557">
      <w:pPr>
        <w:pStyle w:val="ListParagraph"/>
        <w:numPr>
          <w:ilvl w:val="0"/>
          <w:numId w:val="8"/>
        </w:numPr>
        <w:spacing w:after="0" w:line="240" w:lineRule="auto"/>
        <w:ind w:hanging="426"/>
        <w:rPr>
          <w:rFonts w:asciiTheme="minorHAnsi" w:hAnsiTheme="minorHAnsi"/>
          <w:sz w:val="20"/>
        </w:rPr>
      </w:pPr>
      <w:r w:rsidRPr="001034F5">
        <w:rPr>
          <w:rFonts w:asciiTheme="minorHAnsi" w:hAnsiTheme="minorHAnsi"/>
          <w:sz w:val="20"/>
        </w:rPr>
        <w:t>Narrative Reporting</w:t>
      </w:r>
    </w:p>
    <w:p w:rsidR="001034F5" w:rsidRPr="001034F5" w:rsidRDefault="001034F5" w:rsidP="00DB3557">
      <w:pPr>
        <w:pStyle w:val="ListParagraph"/>
        <w:numPr>
          <w:ilvl w:val="0"/>
          <w:numId w:val="8"/>
        </w:numPr>
        <w:spacing w:after="0" w:line="240" w:lineRule="auto"/>
        <w:ind w:hanging="426"/>
        <w:rPr>
          <w:rFonts w:asciiTheme="minorHAnsi" w:hAnsiTheme="minorHAnsi"/>
          <w:sz w:val="20"/>
        </w:rPr>
      </w:pPr>
      <w:r w:rsidRPr="001034F5">
        <w:rPr>
          <w:rFonts w:asciiTheme="minorHAnsi" w:hAnsiTheme="minorHAnsi"/>
          <w:sz w:val="20"/>
        </w:rPr>
        <w:t>Understanding Investors: Directions for Corporate Reporting/Changing Landscape</w:t>
      </w:r>
    </w:p>
    <w:p w:rsidR="001034F5" w:rsidRPr="001034F5" w:rsidRDefault="001034F5" w:rsidP="00DB3557">
      <w:pPr>
        <w:pStyle w:val="ListParagraph"/>
        <w:numPr>
          <w:ilvl w:val="0"/>
          <w:numId w:val="8"/>
        </w:numPr>
        <w:spacing w:after="0" w:line="240" w:lineRule="auto"/>
        <w:ind w:hanging="426"/>
        <w:rPr>
          <w:rFonts w:asciiTheme="minorHAnsi" w:hAnsiTheme="minorHAnsi"/>
          <w:sz w:val="20"/>
        </w:rPr>
      </w:pPr>
      <w:r w:rsidRPr="001034F5">
        <w:rPr>
          <w:rFonts w:asciiTheme="minorHAnsi" w:hAnsiTheme="minorHAnsi"/>
          <w:sz w:val="20"/>
        </w:rPr>
        <w:t>Forward-looking Statements</w:t>
      </w:r>
    </w:p>
    <w:p w:rsidR="001034F5" w:rsidRPr="001034F5" w:rsidRDefault="001034F5" w:rsidP="00DB3557">
      <w:pPr>
        <w:pStyle w:val="ListParagraph"/>
        <w:numPr>
          <w:ilvl w:val="0"/>
          <w:numId w:val="8"/>
        </w:numPr>
        <w:spacing w:after="0" w:line="240" w:lineRule="auto"/>
        <w:ind w:hanging="426"/>
        <w:rPr>
          <w:rFonts w:asciiTheme="minorHAnsi" w:hAnsiTheme="minorHAnsi"/>
          <w:sz w:val="20"/>
        </w:rPr>
      </w:pPr>
      <w:r w:rsidRPr="001034F5">
        <w:rPr>
          <w:rFonts w:asciiTheme="minorHAnsi" w:hAnsiTheme="minorHAnsi"/>
          <w:sz w:val="20"/>
        </w:rPr>
        <w:t>Requirements Governing/Guiding Disclosures in Annual Reports</w:t>
      </w:r>
    </w:p>
    <w:p w:rsidR="001034F5" w:rsidRPr="001034F5" w:rsidRDefault="001034F5" w:rsidP="00DB3557">
      <w:pPr>
        <w:pStyle w:val="ListParagraph"/>
        <w:numPr>
          <w:ilvl w:val="0"/>
          <w:numId w:val="8"/>
        </w:numPr>
        <w:spacing w:after="0" w:line="240" w:lineRule="auto"/>
        <w:ind w:hanging="426"/>
        <w:rPr>
          <w:rFonts w:asciiTheme="minorHAnsi" w:hAnsiTheme="minorHAnsi"/>
          <w:sz w:val="20"/>
        </w:rPr>
      </w:pPr>
      <w:r w:rsidRPr="001034F5">
        <w:rPr>
          <w:rFonts w:asciiTheme="minorHAnsi" w:hAnsiTheme="minorHAnsi"/>
          <w:sz w:val="20"/>
        </w:rPr>
        <w:t>Contents of Annual Report (Exemplary)</w:t>
      </w:r>
    </w:p>
    <w:p w:rsidR="001034F5" w:rsidRDefault="001034F5" w:rsidP="00DB3557">
      <w:pPr>
        <w:pStyle w:val="ListParagraph"/>
        <w:numPr>
          <w:ilvl w:val="0"/>
          <w:numId w:val="8"/>
        </w:numPr>
        <w:spacing w:after="0" w:line="240" w:lineRule="auto"/>
        <w:ind w:hanging="426"/>
        <w:rPr>
          <w:rFonts w:asciiTheme="minorHAnsi" w:hAnsiTheme="minorHAnsi"/>
          <w:sz w:val="20"/>
        </w:rPr>
      </w:pPr>
      <w:r w:rsidRPr="001034F5">
        <w:rPr>
          <w:rFonts w:asciiTheme="minorHAnsi" w:hAnsiTheme="minorHAnsi"/>
          <w:sz w:val="20"/>
        </w:rPr>
        <w:t>Characteristics/Practices of Good Corporate Reporting</w:t>
      </w:r>
    </w:p>
    <w:p w:rsidR="00DB4972" w:rsidRDefault="00DB4972" w:rsidP="00DB4972">
      <w:pPr>
        <w:rPr>
          <w:rFonts w:asciiTheme="minorHAnsi" w:hAnsiTheme="minorHAnsi"/>
          <w:sz w:val="20"/>
        </w:rPr>
      </w:pPr>
    </w:p>
    <w:p w:rsidR="00DB4972" w:rsidRDefault="00DB4972" w:rsidP="00DB4972">
      <w:pPr>
        <w:rPr>
          <w:rFonts w:asciiTheme="minorHAnsi" w:hAnsiTheme="minorHAnsi"/>
          <w:sz w:val="20"/>
        </w:rPr>
      </w:pPr>
    </w:p>
    <w:p w:rsidR="00DB4972" w:rsidRPr="00DB4972" w:rsidRDefault="00DB4972" w:rsidP="00DB4972">
      <w:pPr>
        <w:rPr>
          <w:rFonts w:asciiTheme="minorHAnsi" w:hAnsiTheme="minorHAnsi"/>
          <w:sz w:val="20"/>
        </w:rPr>
      </w:pPr>
    </w:p>
    <w:p w:rsidR="001034F5" w:rsidRPr="001034F5" w:rsidRDefault="001034F5" w:rsidP="00DB3557">
      <w:pPr>
        <w:pStyle w:val="ListParagraph"/>
        <w:numPr>
          <w:ilvl w:val="0"/>
          <w:numId w:val="8"/>
        </w:numPr>
        <w:spacing w:after="0" w:line="240" w:lineRule="auto"/>
        <w:ind w:left="425" w:hanging="425"/>
        <w:rPr>
          <w:rFonts w:asciiTheme="minorHAnsi" w:hAnsiTheme="minorHAnsi"/>
          <w:sz w:val="20"/>
        </w:rPr>
      </w:pPr>
      <w:r w:rsidRPr="001034F5">
        <w:rPr>
          <w:rFonts w:asciiTheme="minorHAnsi" w:hAnsiTheme="minorHAnsi"/>
          <w:sz w:val="20"/>
        </w:rPr>
        <w:lastRenderedPageBreak/>
        <w:t>Promoting Excellence in Annual Corporate Reporting</w:t>
      </w:r>
    </w:p>
    <w:p w:rsidR="001034F5" w:rsidRPr="001034F5" w:rsidRDefault="001034F5" w:rsidP="00DB3557">
      <w:pPr>
        <w:pStyle w:val="ListParagraph"/>
        <w:numPr>
          <w:ilvl w:val="0"/>
          <w:numId w:val="8"/>
        </w:numPr>
        <w:spacing w:after="0" w:line="240" w:lineRule="auto"/>
        <w:ind w:left="425" w:hanging="425"/>
        <w:rPr>
          <w:rFonts w:asciiTheme="minorHAnsi" w:hAnsiTheme="minorHAnsi"/>
          <w:sz w:val="20"/>
        </w:rPr>
      </w:pPr>
      <w:r w:rsidRPr="001034F5">
        <w:rPr>
          <w:rFonts w:asciiTheme="minorHAnsi" w:hAnsiTheme="minorHAnsi"/>
          <w:sz w:val="20"/>
        </w:rPr>
        <w:t xml:space="preserve">Unravelling Annual Report, Uncovering Gems and Best Practices –Cases/Examples </w:t>
      </w:r>
    </w:p>
    <w:p w:rsidR="001034F5" w:rsidRPr="001034F5" w:rsidRDefault="001034F5" w:rsidP="00DB3557">
      <w:pPr>
        <w:pStyle w:val="ListParagraph"/>
        <w:numPr>
          <w:ilvl w:val="0"/>
          <w:numId w:val="8"/>
        </w:numPr>
        <w:spacing w:after="0" w:line="240" w:lineRule="auto"/>
        <w:ind w:left="425" w:hanging="425"/>
        <w:rPr>
          <w:rFonts w:asciiTheme="minorHAnsi" w:hAnsiTheme="minorHAnsi"/>
        </w:rPr>
      </w:pPr>
      <w:r w:rsidRPr="001034F5">
        <w:rPr>
          <w:rFonts w:asciiTheme="minorHAnsi" w:hAnsiTheme="minorHAnsi"/>
          <w:sz w:val="20"/>
        </w:rPr>
        <w:t>Integrated Reporting – Moving forward</w:t>
      </w:r>
    </w:p>
    <w:p w:rsidR="00C97D66" w:rsidRDefault="00E4424D" w:rsidP="003F6F40">
      <w:pPr>
        <w:rPr>
          <w:rFonts w:asciiTheme="minorHAnsi" w:hAnsiTheme="minorHAnsi"/>
        </w:rPr>
      </w:pPr>
      <w:r>
        <w:rPr>
          <w:rFonts w:asciiTheme="minorHAnsi" w:hAnsiTheme="minorHAnsi"/>
          <w:noProof/>
          <w:lang w:val="en-US"/>
        </w:rPr>
        <w:pict>
          <v:roundrect id="_x0000_s1127" style="position:absolute;margin-left:-4.4pt;margin-top:12.8pt;width:150.55pt;height:23.4pt;z-index:-251574272" arcsize="10923f">
            <v:shadow on="t" offset="3pt" offset2="2pt"/>
            <v:textbox style="mso-next-textbox:#_x0000_s1127">
              <w:txbxContent>
                <w:p w:rsidR="00DB3557" w:rsidRPr="00DB3557" w:rsidRDefault="00DB3557">
                  <w:pPr>
                    <w:rPr>
                      <w:rFonts w:asciiTheme="minorHAnsi" w:hAnsiTheme="minorHAnsi"/>
                      <w:sz w:val="20"/>
                    </w:rPr>
                  </w:pPr>
                  <w:r>
                    <w:rPr>
                      <w:rFonts w:asciiTheme="minorHAnsi" w:hAnsiTheme="minorHAnsi"/>
                      <w:sz w:val="20"/>
                    </w:rPr>
                    <w:t>METHODOLOGY</w:t>
                  </w:r>
                </w:p>
              </w:txbxContent>
            </v:textbox>
          </v:roundrect>
        </w:pict>
      </w:r>
    </w:p>
    <w:p w:rsidR="003F6F40" w:rsidRPr="00B26841" w:rsidRDefault="003F6F40" w:rsidP="003F6F40">
      <w:pPr>
        <w:rPr>
          <w:rFonts w:asciiTheme="minorHAnsi" w:hAnsiTheme="minorHAnsi"/>
        </w:rPr>
      </w:pPr>
    </w:p>
    <w:p w:rsidR="00DB3557" w:rsidRDefault="00DB3557" w:rsidP="00F928D5">
      <w:pPr>
        <w:rPr>
          <w:rFonts w:asciiTheme="minorHAnsi" w:hAnsiTheme="minorHAnsi"/>
        </w:rPr>
      </w:pPr>
    </w:p>
    <w:p w:rsidR="003F6F40" w:rsidRPr="00DB3557" w:rsidRDefault="00DB3557" w:rsidP="003F6F40">
      <w:pPr>
        <w:rPr>
          <w:rFonts w:asciiTheme="minorHAnsi" w:hAnsiTheme="minorHAnsi"/>
          <w:sz w:val="20"/>
        </w:rPr>
      </w:pPr>
      <w:r w:rsidRPr="00DB3557">
        <w:rPr>
          <w:rFonts w:asciiTheme="minorHAnsi" w:hAnsiTheme="minorHAnsi"/>
          <w:sz w:val="20"/>
        </w:rPr>
        <w:t>Lectures facilitated by PowerPoint presentation and real examples and supplemented with videos, wherever applicable.3</w:t>
      </w:r>
    </w:p>
    <w:p w:rsidR="00DB3557" w:rsidRPr="00B26841" w:rsidRDefault="00E4424D" w:rsidP="003F6F40">
      <w:pPr>
        <w:rPr>
          <w:rFonts w:asciiTheme="minorHAnsi" w:hAnsiTheme="minorHAnsi"/>
        </w:rPr>
      </w:pPr>
      <w:r>
        <w:rPr>
          <w:rFonts w:asciiTheme="minorHAnsi" w:hAnsiTheme="minorHAnsi"/>
          <w:noProof/>
          <w:lang w:val="en-US"/>
        </w:rPr>
        <w:pict>
          <v:roundrect id="_x0000_s1050" style="position:absolute;margin-left:-4.4pt;margin-top:10.6pt;width:150.55pt;height:23.4pt;z-index:-251652096" arcsize="10923f">
            <v:shadow on="t" offset="3pt" offset2="2pt"/>
            <v:textbox style="mso-next-textbox:#_x0000_s1050">
              <w:txbxContent>
                <w:p w:rsidR="00DB3557" w:rsidRPr="00DB3557" w:rsidRDefault="00DB3557">
                  <w:pPr>
                    <w:rPr>
                      <w:rFonts w:asciiTheme="minorHAnsi" w:hAnsiTheme="minorHAnsi"/>
                      <w:sz w:val="20"/>
                    </w:rPr>
                  </w:pPr>
                  <w:r>
                    <w:rPr>
                      <w:rFonts w:asciiTheme="minorHAnsi" w:hAnsiTheme="minorHAnsi"/>
                      <w:sz w:val="20"/>
                    </w:rPr>
                    <w:t>TARGET AUDIENCE</w:t>
                  </w:r>
                </w:p>
              </w:txbxContent>
            </v:textbox>
          </v:roundrect>
        </w:pict>
      </w:r>
    </w:p>
    <w:p w:rsidR="003F6F40" w:rsidRPr="00B26841" w:rsidRDefault="003F6F40" w:rsidP="003F6F40">
      <w:pPr>
        <w:rPr>
          <w:rFonts w:asciiTheme="minorHAnsi" w:hAnsiTheme="minorHAnsi"/>
        </w:rPr>
      </w:pPr>
    </w:p>
    <w:p w:rsidR="003F6F40" w:rsidRPr="00B26841" w:rsidRDefault="003F6F40" w:rsidP="003F6F40">
      <w:pPr>
        <w:rPr>
          <w:rFonts w:asciiTheme="minorHAnsi" w:hAnsiTheme="minorHAnsi"/>
        </w:rPr>
      </w:pPr>
    </w:p>
    <w:p w:rsidR="00DB3557" w:rsidRPr="00DB3557" w:rsidRDefault="00DB3557" w:rsidP="00DB3557">
      <w:pPr>
        <w:jc w:val="both"/>
        <w:rPr>
          <w:rFonts w:asciiTheme="minorHAnsi" w:hAnsiTheme="minorHAnsi"/>
          <w:sz w:val="20"/>
        </w:rPr>
      </w:pPr>
      <w:r w:rsidRPr="00DB3557">
        <w:rPr>
          <w:rFonts w:asciiTheme="minorHAnsi" w:hAnsiTheme="minorHAnsi"/>
          <w:sz w:val="20"/>
        </w:rPr>
        <w:t>Board Directors, CEOs, CFOs and senior management personnel; company secretaries, practitioners, finance personnel and officers involved in the preparation of Annual Reports, and other relevant corporate reports; business writers/journalists/reporters, officers involved in investor relations.</w:t>
      </w:r>
    </w:p>
    <w:p w:rsidR="00B26841" w:rsidRDefault="00E4424D">
      <w:pPr>
        <w:rPr>
          <w:rFonts w:asciiTheme="minorHAnsi" w:hAnsiTheme="minorHAnsi"/>
        </w:rPr>
      </w:pPr>
      <w:r>
        <w:rPr>
          <w:rFonts w:asciiTheme="minorHAnsi" w:hAnsiTheme="minorHAnsi"/>
          <w:noProof/>
          <w:lang w:val="en-US"/>
        </w:rPr>
        <w:pict>
          <v:roundrect id="_x0000_s1051" style="position:absolute;margin-left:-6.05pt;margin-top:8.7pt;width:150.55pt;height:23.4pt;z-index:-251651072" arcsize="10923f">
            <v:shadow on="t" offset="3pt" offset2="2pt"/>
            <v:textbox style="mso-next-textbox:#_x0000_s1051">
              <w:txbxContent>
                <w:p w:rsidR="00DB3557" w:rsidRPr="00DB3557" w:rsidRDefault="00DB3557">
                  <w:pPr>
                    <w:rPr>
                      <w:rFonts w:asciiTheme="minorHAnsi" w:hAnsiTheme="minorHAnsi"/>
                      <w:sz w:val="20"/>
                    </w:rPr>
                  </w:pPr>
                  <w:r>
                    <w:rPr>
                      <w:rFonts w:asciiTheme="minorHAnsi" w:hAnsiTheme="minorHAnsi"/>
                      <w:sz w:val="20"/>
                    </w:rPr>
                    <w:t>ADMINISTRATIVE DETAILS</w:t>
                  </w:r>
                </w:p>
              </w:txbxContent>
            </v:textbox>
          </v:roundrect>
        </w:pict>
      </w:r>
    </w:p>
    <w:p w:rsidR="00D90843" w:rsidRPr="00B26841" w:rsidRDefault="00D90843" w:rsidP="00D90843">
      <w:pPr>
        <w:rPr>
          <w:rFonts w:asciiTheme="minorHAnsi" w:hAnsiTheme="minorHAnsi"/>
        </w:rPr>
      </w:pPr>
    </w:p>
    <w:p w:rsidR="00B26841" w:rsidRDefault="00B26841">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876BA1" w:rsidP="00852D08">
            <w:pPr>
              <w:ind w:right="308"/>
              <w:rPr>
                <w:rFonts w:asciiTheme="minorHAnsi" w:hAnsiTheme="minorHAnsi" w:cs="Segoe UI Semibold"/>
                <w:sz w:val="20"/>
              </w:rPr>
            </w:pPr>
            <w:r>
              <w:rPr>
                <w:rFonts w:asciiTheme="minorHAnsi" w:hAnsiTheme="minorHAnsi" w:cs="Segoe UI Semibold"/>
                <w:sz w:val="20"/>
              </w:rPr>
              <w:t>16 Feb</w:t>
            </w:r>
            <w:r w:rsidR="00852D08">
              <w:rPr>
                <w:rFonts w:asciiTheme="minorHAnsi" w:hAnsiTheme="minorHAnsi" w:cs="Segoe UI Semibold"/>
                <w:sz w:val="20"/>
              </w:rPr>
              <w:t xml:space="preserve"> </w:t>
            </w:r>
            <w:r>
              <w:rPr>
                <w:rFonts w:asciiTheme="minorHAnsi" w:hAnsiTheme="minorHAnsi" w:cs="Segoe UI Semibold"/>
                <w:sz w:val="20"/>
              </w:rPr>
              <w:t>/</w:t>
            </w:r>
            <w:r w:rsidR="00852D08">
              <w:rPr>
                <w:rFonts w:asciiTheme="minorHAnsi" w:hAnsiTheme="minorHAnsi" w:cs="Segoe UI Semibold"/>
                <w:sz w:val="20"/>
              </w:rPr>
              <w:t xml:space="preserve"> </w:t>
            </w:r>
            <w:r>
              <w:rPr>
                <w:rFonts w:asciiTheme="minorHAnsi" w:hAnsiTheme="minorHAnsi" w:cs="Segoe UI Semibold"/>
                <w:sz w:val="20"/>
              </w:rPr>
              <w:t>16 Mar</w:t>
            </w:r>
            <w:r w:rsidR="00852D08">
              <w:rPr>
                <w:rFonts w:asciiTheme="minorHAnsi" w:hAnsiTheme="minorHAnsi" w:cs="Segoe UI Semibold"/>
                <w:sz w:val="20"/>
              </w:rPr>
              <w:t xml:space="preserve"> </w:t>
            </w:r>
            <w:r>
              <w:rPr>
                <w:rFonts w:asciiTheme="minorHAnsi" w:hAnsiTheme="minorHAnsi" w:cs="Segoe UI Semibold"/>
                <w:sz w:val="20"/>
              </w:rPr>
              <w:t>/</w:t>
            </w:r>
            <w:r w:rsidR="00852D08">
              <w:rPr>
                <w:rFonts w:asciiTheme="minorHAnsi" w:hAnsiTheme="minorHAnsi" w:cs="Segoe UI Semibold"/>
                <w:sz w:val="20"/>
              </w:rPr>
              <w:t xml:space="preserve"> </w:t>
            </w:r>
            <w:r>
              <w:rPr>
                <w:rFonts w:asciiTheme="minorHAnsi" w:hAnsiTheme="minorHAnsi" w:cs="Segoe UI Semibold"/>
                <w:sz w:val="20"/>
              </w:rPr>
              <w:t>06 Apr</w:t>
            </w:r>
            <w:r w:rsidR="00852D08">
              <w:rPr>
                <w:rFonts w:asciiTheme="minorHAnsi" w:hAnsiTheme="minorHAnsi" w:cs="Segoe UI Semibold"/>
                <w:sz w:val="20"/>
              </w:rPr>
              <w:t xml:space="preserve"> </w:t>
            </w:r>
            <w:r>
              <w:rPr>
                <w:rFonts w:asciiTheme="minorHAnsi" w:hAnsiTheme="minorHAnsi" w:cs="Segoe UI Semibold"/>
                <w:sz w:val="20"/>
              </w:rPr>
              <w:t>/</w:t>
            </w:r>
            <w:r w:rsidR="00852D08">
              <w:rPr>
                <w:rFonts w:asciiTheme="minorHAnsi" w:hAnsiTheme="minorHAnsi" w:cs="Segoe UI Semibold"/>
                <w:sz w:val="20"/>
              </w:rPr>
              <w:t xml:space="preserve"> </w:t>
            </w:r>
            <w:r>
              <w:rPr>
                <w:rFonts w:asciiTheme="minorHAnsi" w:hAnsiTheme="minorHAnsi" w:cs="Segoe UI Semibold"/>
                <w:sz w:val="20"/>
              </w:rPr>
              <w:t>25 May</w:t>
            </w:r>
            <w:r w:rsidR="00852D08">
              <w:rPr>
                <w:rFonts w:asciiTheme="minorHAnsi" w:hAnsiTheme="minorHAnsi" w:cs="Segoe UI Semibold"/>
                <w:sz w:val="20"/>
              </w:rPr>
              <w:t xml:space="preserve"> </w:t>
            </w:r>
            <w:r>
              <w:rPr>
                <w:rFonts w:asciiTheme="minorHAnsi" w:hAnsiTheme="minorHAnsi" w:cs="Segoe UI Semibold"/>
                <w:sz w:val="20"/>
              </w:rPr>
              <w:t>/</w:t>
            </w:r>
            <w:r w:rsidR="00852D08">
              <w:rPr>
                <w:rFonts w:asciiTheme="minorHAnsi" w:hAnsiTheme="minorHAnsi" w:cs="Segoe UI Semibold"/>
                <w:sz w:val="20"/>
              </w:rPr>
              <w:t xml:space="preserve"> </w:t>
            </w:r>
            <w:r>
              <w:rPr>
                <w:rFonts w:asciiTheme="minorHAnsi" w:hAnsiTheme="minorHAnsi" w:cs="Segoe UI Semibold"/>
                <w:sz w:val="20"/>
              </w:rPr>
              <w:t>05 Jun 2017</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0D57B6" w:rsidP="003954D3">
            <w:pPr>
              <w:ind w:right="308"/>
              <w:jc w:val="both"/>
              <w:rPr>
                <w:rFonts w:asciiTheme="minorHAnsi" w:hAnsiTheme="minorHAnsi" w:cs="Segoe UI Semibold"/>
                <w:sz w:val="20"/>
              </w:rPr>
            </w:pPr>
            <w:r>
              <w:rPr>
                <w:rFonts w:asciiTheme="minorHAnsi" w:hAnsiTheme="minorHAnsi" w:cs="Segoe UI Semibold"/>
                <w:sz w:val="20"/>
              </w:rPr>
              <w:t>0900 – 1</w:t>
            </w:r>
            <w:r w:rsidR="00DB3557">
              <w:rPr>
                <w:rFonts w:asciiTheme="minorHAnsi" w:hAnsiTheme="minorHAnsi" w:cs="Segoe UI Semibold"/>
                <w:sz w:val="20"/>
              </w:rPr>
              <w:t>3</w:t>
            </w:r>
            <w:r w:rsidR="00D90843" w:rsidRPr="00D90843">
              <w:rPr>
                <w:rFonts w:asciiTheme="minorHAnsi" w:hAnsiTheme="minorHAnsi" w:cs="Segoe UI Semibold"/>
                <w:sz w:val="20"/>
              </w:rPr>
              <w:t>00</w:t>
            </w:r>
            <w:r w:rsidR="003954D3">
              <w:rPr>
                <w:rFonts w:asciiTheme="minorHAnsi" w:hAnsiTheme="minorHAnsi" w:cs="Segoe UI Semibold"/>
                <w:sz w:val="20"/>
              </w:rPr>
              <w:t xml:space="preserve"> hours</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A5499" w:rsidP="00D102CC">
            <w:pPr>
              <w:ind w:right="308"/>
              <w:jc w:val="both"/>
              <w:rPr>
                <w:rFonts w:asciiTheme="minorHAnsi" w:hAnsiTheme="minorHAnsi" w:cs="Segoe UI Semibold"/>
                <w:sz w:val="20"/>
              </w:rPr>
            </w:pPr>
            <w:r>
              <w:rPr>
                <w:rFonts w:asciiTheme="minorHAnsi" w:hAnsiTheme="minorHAnsi" w:cs="Segoe UI Semibold"/>
                <w:sz w:val="20"/>
              </w:rPr>
              <w:t>Hilton Petaling Jaya</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DB3557">
            <w:pPr>
              <w:ind w:right="308"/>
              <w:jc w:val="both"/>
              <w:rPr>
                <w:rFonts w:asciiTheme="minorHAnsi" w:hAnsiTheme="minorHAnsi" w:cs="Segoe UI Semibold"/>
                <w:sz w:val="20"/>
              </w:rPr>
            </w:pPr>
            <w:r w:rsidRPr="00D90843">
              <w:rPr>
                <w:rFonts w:asciiTheme="minorHAnsi" w:hAnsiTheme="minorHAnsi" w:cs="Segoe UI Semibold"/>
                <w:sz w:val="20"/>
              </w:rPr>
              <w:t>RM</w:t>
            </w:r>
            <w:r w:rsidR="00DB3557">
              <w:rPr>
                <w:rFonts w:asciiTheme="minorHAnsi" w:hAnsiTheme="minorHAnsi" w:cs="Segoe UI Semibold"/>
                <w:sz w:val="20"/>
              </w:rPr>
              <w:t>932</w:t>
            </w:r>
            <w:r w:rsidRPr="00D90843">
              <w:rPr>
                <w:rFonts w:asciiTheme="minorHAnsi" w:hAnsiTheme="minorHAnsi" w:cs="Segoe UI Semibold"/>
                <w:sz w:val="20"/>
              </w:rPr>
              <w:t>.</w:t>
            </w:r>
            <w:r w:rsidR="00DB3557">
              <w:rPr>
                <w:rFonts w:asciiTheme="minorHAnsi" w:hAnsiTheme="minorHAnsi" w:cs="Segoe UI Semibold"/>
                <w:sz w:val="20"/>
              </w:rPr>
              <w:t>8</w:t>
            </w:r>
            <w:r w:rsidRPr="00D90843">
              <w:rPr>
                <w:rFonts w:asciiTheme="minorHAnsi" w:hAnsiTheme="minorHAnsi" w:cs="Segoe UI Semibold"/>
                <w:sz w:val="20"/>
              </w:rPr>
              <w:t xml:space="preserve">0 per participant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B26841">
      <w:pPr>
        <w:rPr>
          <w:rFonts w:asciiTheme="minorHAnsi" w:hAnsiTheme="minorHAnsi"/>
        </w:rPr>
      </w:pPr>
    </w:p>
    <w:p w:rsidR="00B26841" w:rsidRDefault="00E4424D">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74.15pt;margin-top:4.65pt;width:85.05pt;height:55.85pt;z-index:251657216" fillcolor="black" strokecolor="#f2f2f2" strokeweight="3pt">
            <v:shadow on="t" type="perspective" color="#7f7f7f" opacity=".5" offset="1pt" offset2="-1pt"/>
            <v:textbox style="mso-next-textbox:#_x0000_s1058">
              <w:txbxContent>
                <w:p w:rsidR="00A5263F" w:rsidRPr="00B37990" w:rsidRDefault="00A5263F" w:rsidP="00A5263F">
                  <w:pPr>
                    <w:jc w:val="center"/>
                    <w:rPr>
                      <w:b/>
                      <w:color w:val="FFFFFF"/>
                      <w:sz w:val="10"/>
                      <w:szCs w:val="10"/>
                    </w:rPr>
                  </w:pPr>
                </w:p>
                <w:p w:rsidR="00A5263F" w:rsidRPr="00B37990" w:rsidRDefault="00DB3557" w:rsidP="00A5263F">
                  <w:pPr>
                    <w:jc w:val="center"/>
                    <w:rPr>
                      <w:rFonts w:ascii="Century Gothic" w:hAnsi="Century Gothic"/>
                      <w:b/>
                      <w:color w:val="FFFFFF"/>
                    </w:rPr>
                  </w:pPr>
                  <w:r>
                    <w:rPr>
                      <w:rFonts w:ascii="Century Gothic" w:hAnsi="Century Gothic"/>
                      <w:b/>
                      <w:color w:val="FFFFFF"/>
                    </w:rPr>
                    <w:t>4</w:t>
                  </w:r>
                  <w:r w:rsidR="00A5263F" w:rsidRPr="00B37990">
                    <w:rPr>
                      <w:rFonts w:ascii="Century Gothic" w:hAnsi="Century Gothic"/>
                      <w:b/>
                      <w:color w:val="FFFFFF"/>
                    </w:rPr>
                    <w:t xml:space="preserve"> CEP </w:t>
                  </w:r>
                  <w:r w:rsidR="00147163">
                    <w:rPr>
                      <w:rFonts w:ascii="Century Gothic" w:hAnsi="Century Gothic"/>
                      <w:b/>
                      <w:color w:val="FFFFFF"/>
                    </w:rPr>
                    <w:t>POINTS</w:t>
                  </w:r>
                </w:p>
              </w:txbxContent>
            </v:textbox>
          </v:shape>
        </w:pict>
      </w: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52516" w:rsidRDefault="00F52516">
      <w:pPr>
        <w:rPr>
          <w:rFonts w:asciiTheme="minorHAnsi" w:hAnsiTheme="minorHAnsi"/>
        </w:rPr>
      </w:pPr>
    </w:p>
    <w:p w:rsidR="00F52516" w:rsidRDefault="00DB4972">
      <w:pPr>
        <w:rPr>
          <w:rFonts w:asciiTheme="minorHAnsi" w:hAnsiTheme="minorHAnsi"/>
        </w:rPr>
      </w:pPr>
      <w:r>
        <w:rPr>
          <w:rFonts w:asciiTheme="minorHAnsi" w:hAnsiTheme="minorHAnsi"/>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11" type="#_x0000_t185" style="position:absolute;margin-left:-4.85pt;margin-top:12.5pt;width:258.75pt;height:82.5pt;z-index:-251586560" filled="t" fillcolor="#ffb9b9">
            <v:fill opacity="29491f"/>
            <v:textbox>
              <w:txbxContent>
                <w:p w:rsidR="00DB4972" w:rsidRPr="006479E6" w:rsidRDefault="00DB4972" w:rsidP="00DB4972">
                  <w:pPr>
                    <w:ind w:left="284"/>
                    <w:jc w:val="both"/>
                    <w:rPr>
                      <w:rFonts w:asciiTheme="minorHAnsi" w:hAnsiTheme="minorHAnsi"/>
                      <w:i/>
                    </w:rPr>
                  </w:pPr>
                  <w:r w:rsidRPr="006479E6">
                    <w:rPr>
                      <w:rFonts w:asciiTheme="minorHAnsi" w:hAnsiTheme="minorHAnsi"/>
                      <w:i/>
                    </w:rPr>
                    <w:t>Postponement / Cancellation within seven (07) working days prior to the event are subject to a cancellation / postponement fee of 20%. Full amount of the registration fee(s) is chargeable for non-attendance of the participant(s).</w:t>
                  </w:r>
                </w:p>
                <w:p w:rsidR="00DB4972" w:rsidRDefault="00DB4972"/>
              </w:txbxContent>
            </v:textbox>
          </v:shape>
        </w:pict>
      </w:r>
    </w:p>
    <w:p w:rsidR="00F52516" w:rsidRDefault="00F52516">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6807E9" w:rsidRDefault="006807E9">
      <w:pPr>
        <w:rPr>
          <w:rFonts w:asciiTheme="minorHAnsi" w:hAnsiTheme="minorHAnsi"/>
        </w:rPr>
      </w:pPr>
    </w:p>
    <w:p w:rsidR="00DB4972" w:rsidRPr="00B26841" w:rsidRDefault="00DB4972">
      <w:pPr>
        <w:rPr>
          <w:rFonts w:asciiTheme="minorHAnsi" w:hAnsiTheme="minorHAnsi"/>
        </w:rPr>
        <w:sectPr w:rsidR="00DB4972" w:rsidRPr="00B26841" w:rsidSect="00DB4972">
          <w:type w:val="continuous"/>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D90843" w:rsidRDefault="00D90843" w:rsidP="00D90843">
      <w:pPr>
        <w:rPr>
          <w:rFonts w:asciiTheme="minorHAnsi" w:hAnsiTheme="minorHAnsi"/>
        </w:rPr>
        <w:sectPr w:rsidR="00D90843" w:rsidSect="00DB4972">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DB4972" w:rsidRDefault="00DB4972" w:rsidP="005B3D4D">
      <w:pPr>
        <w:rPr>
          <w:rFonts w:asciiTheme="majorHAnsi" w:hAnsiTheme="majorHAnsi"/>
          <w:sz w:val="28"/>
          <w:szCs w:val="28"/>
          <w:u w:val="single"/>
        </w:rPr>
      </w:pPr>
    </w:p>
    <w:p w:rsidR="005B3D4D" w:rsidRDefault="00E4424D" w:rsidP="005B3D4D">
      <w:pPr>
        <w:rPr>
          <w:rFonts w:asciiTheme="majorHAnsi" w:hAnsiTheme="majorHAnsi"/>
          <w:sz w:val="28"/>
          <w:szCs w:val="28"/>
          <w:u w:val="single"/>
        </w:rPr>
      </w:pPr>
      <w:r w:rsidRPr="00E4424D">
        <w:rPr>
          <w:rFonts w:asciiTheme="minorHAnsi" w:hAnsiTheme="minorHAnsi"/>
          <w:noProof/>
          <w:lang w:val="en-US"/>
        </w:rPr>
        <w:pict>
          <v:roundrect id="_x0000_s1129" style="position:absolute;margin-left:-3.15pt;margin-top:-5pt;width:150.55pt;height:23.4pt;z-index:-251573248" arcsize="10923f">
            <v:shadow on="t" offset="3pt" offset2="2pt"/>
            <v:textbox style="mso-next-textbox:#_x0000_s1129">
              <w:txbxContent>
                <w:p w:rsidR="005B3D4D" w:rsidRPr="001034F5" w:rsidRDefault="005B3D4D" w:rsidP="005B3D4D">
                  <w:pPr>
                    <w:rPr>
                      <w:rFonts w:asciiTheme="minorHAnsi" w:hAnsiTheme="minorHAnsi"/>
                      <w:sz w:val="20"/>
                    </w:rPr>
                  </w:pPr>
                  <w:r>
                    <w:rPr>
                      <w:rFonts w:asciiTheme="minorHAnsi" w:hAnsiTheme="minorHAnsi"/>
                      <w:sz w:val="20"/>
                    </w:rPr>
                    <w:t>SPEAKER PROFILE</w:t>
                  </w:r>
                </w:p>
              </w:txbxContent>
            </v:textbox>
          </v:roundrect>
        </w:pict>
      </w:r>
    </w:p>
    <w:p w:rsidR="005B3D4D" w:rsidRDefault="005B3D4D" w:rsidP="005B3D4D">
      <w:pPr>
        <w:rPr>
          <w:rFonts w:asciiTheme="majorHAnsi" w:hAnsiTheme="majorHAnsi"/>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7036"/>
      </w:tblGrid>
      <w:tr w:rsidR="00852D08" w:rsidTr="006F0DD1">
        <w:tc>
          <w:tcPr>
            <w:tcW w:w="1980" w:type="dxa"/>
          </w:tcPr>
          <w:p w:rsidR="00852D08" w:rsidRDefault="00852D08" w:rsidP="006F0DD1">
            <w:r>
              <w:rPr>
                <w:b/>
                <w:noProof/>
                <w:lang w:val="en-US"/>
              </w:rPr>
              <w:drawing>
                <wp:inline distT="0" distB="0" distL="0" distR="0">
                  <wp:extent cx="800100" cy="1143000"/>
                  <wp:effectExtent l="0" t="0" r="0" b="0"/>
                  <wp:docPr id="2" name="Picture 2" descr="C:\Users\User\Documents\BROCHURES(2016)\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ROCHURES(2016)\images.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1143000"/>
                          </a:xfrm>
                          <a:prstGeom prst="rect">
                            <a:avLst/>
                          </a:prstGeom>
                          <a:noFill/>
                          <a:ln>
                            <a:noFill/>
                          </a:ln>
                        </pic:spPr>
                      </pic:pic>
                    </a:graphicData>
                  </a:graphic>
                </wp:inline>
              </w:drawing>
            </w:r>
          </w:p>
        </w:tc>
        <w:tc>
          <w:tcPr>
            <w:tcW w:w="7036" w:type="dxa"/>
            <w:vAlign w:val="center"/>
          </w:tcPr>
          <w:p w:rsidR="00852D08" w:rsidRPr="00B36090" w:rsidRDefault="00852D08" w:rsidP="006F0DD1">
            <w:pPr>
              <w:rPr>
                <w:rFonts w:ascii="Segoe UI Semibold" w:hAnsi="Segoe UI Semibold" w:cs="Segoe UI Semilight"/>
                <w:b/>
                <w:sz w:val="24"/>
              </w:rPr>
            </w:pPr>
            <w:r w:rsidRPr="00B36090">
              <w:rPr>
                <w:rFonts w:ascii="Segoe UI Semibold" w:hAnsi="Segoe UI Semibold" w:cs="Segoe UI Semilight"/>
                <w:b/>
                <w:sz w:val="24"/>
              </w:rPr>
              <w:t>CHONG CHEE FERN</w:t>
            </w:r>
          </w:p>
          <w:p w:rsidR="00852D08" w:rsidRPr="00B36090" w:rsidRDefault="00852D08" w:rsidP="006F0DD1">
            <w:pPr>
              <w:rPr>
                <w:rFonts w:ascii="Segoe UI Semilight" w:hAnsi="Segoe UI Semilight" w:cs="Segoe UI Semilight"/>
                <w:b/>
              </w:rPr>
            </w:pPr>
            <w:r w:rsidRPr="00B36090">
              <w:rPr>
                <w:rFonts w:ascii="Segoe UI Semibold" w:hAnsi="Segoe UI Semibold"/>
                <w:b/>
              </w:rPr>
              <w:t xml:space="preserve">B. Econs. (Accounting), </w:t>
            </w:r>
            <w:r w:rsidRPr="00B36090">
              <w:rPr>
                <w:rFonts w:ascii="Segoe UI Semibold" w:hAnsi="Segoe UI Semibold" w:cs="Segoe UI Semilight"/>
                <w:b/>
              </w:rPr>
              <w:t>University of Malaya</w:t>
            </w:r>
          </w:p>
        </w:tc>
      </w:tr>
      <w:tr w:rsidR="00852D08" w:rsidTr="006F0DD1">
        <w:tc>
          <w:tcPr>
            <w:tcW w:w="9016" w:type="dxa"/>
            <w:gridSpan w:val="2"/>
          </w:tcPr>
          <w:p w:rsidR="00852D08" w:rsidRPr="00DF6A64" w:rsidRDefault="00852D08" w:rsidP="006F0DD1">
            <w:pPr>
              <w:rPr>
                <w:rFonts w:asciiTheme="majorHAnsi" w:hAnsiTheme="majorHAnsi"/>
              </w:rPr>
            </w:pPr>
          </w:p>
        </w:tc>
      </w:tr>
      <w:tr w:rsidR="00852D08" w:rsidTr="006F0DD1">
        <w:tc>
          <w:tcPr>
            <w:tcW w:w="9016" w:type="dxa"/>
            <w:gridSpan w:val="2"/>
          </w:tcPr>
          <w:p w:rsidR="00852D08" w:rsidRPr="00852D08" w:rsidRDefault="00852D08" w:rsidP="006F0DD1">
            <w:pPr>
              <w:spacing w:line="276" w:lineRule="auto"/>
              <w:jc w:val="both"/>
              <w:rPr>
                <w:rFonts w:asciiTheme="minorHAnsi" w:hAnsiTheme="minorHAnsi" w:cstheme="minorHAnsi"/>
                <w:szCs w:val="22"/>
              </w:rPr>
            </w:pPr>
            <w:r w:rsidRPr="00852D08">
              <w:rPr>
                <w:rFonts w:asciiTheme="minorHAnsi" w:hAnsiTheme="minorHAnsi" w:cstheme="minorHAnsi"/>
                <w:szCs w:val="22"/>
              </w:rPr>
              <w:t xml:space="preserve">Mr. Chong, a Chartered Accountant registered with the Malaysian Institute of Accountants, holds a B. Econs. (Accounting) (2nd Class Upper Hons.) Degree and a Postgraduate Dip. In Accounting, both from University of Malaya. He is also a holder of the Certified Financial Planner (CFP) qualification and has vast experience in banking and capital market with many years of exposures in internal audit, corporate planning, investor relations, risk management, monitoring of public listed companies and corporate governance. He was the former General Manager, Corporate Monitoring in Minority Shareholder Watchdog Group (MSWG) where his job responsibilities entailed mainly supervising the monitoring of selected public listed companies, complaints and MSWG’s newsletters and the annual surveys for the Malaysian Corporate Governance Index. </w:t>
            </w:r>
          </w:p>
          <w:p w:rsidR="00852D08" w:rsidRPr="00852D08" w:rsidRDefault="00852D08" w:rsidP="006F0DD1">
            <w:pPr>
              <w:rPr>
                <w:rFonts w:asciiTheme="minorHAnsi" w:hAnsiTheme="minorHAnsi" w:cstheme="minorHAnsi"/>
                <w:b/>
                <w:szCs w:val="22"/>
              </w:rPr>
            </w:pPr>
          </w:p>
          <w:p w:rsidR="00852D08" w:rsidRPr="00852D08" w:rsidRDefault="00852D08" w:rsidP="006F0DD1">
            <w:pPr>
              <w:spacing w:line="276" w:lineRule="auto"/>
              <w:jc w:val="both"/>
              <w:rPr>
                <w:rFonts w:asciiTheme="minorHAnsi" w:hAnsiTheme="minorHAnsi" w:cstheme="minorHAnsi"/>
                <w:szCs w:val="22"/>
              </w:rPr>
            </w:pPr>
            <w:r w:rsidRPr="00852D08">
              <w:rPr>
                <w:rFonts w:asciiTheme="minorHAnsi" w:hAnsiTheme="minorHAnsi" w:cstheme="minorHAnsi"/>
                <w:szCs w:val="22"/>
              </w:rPr>
              <w:t>Mr. Chong had delivered several talks and participated in speaking engagements, seminars and forums encompassing corporate governance, internal audit, capital market issues, audit expectation gap and how corporate reporting could meet investors’ needs. He is also an HRDF certified trainer. He had many years of experience in Bank Negara Malaysia, involved in supervising financial institutions and preparation of the Bank’s annual report and budget. His attachment with a large international shipping corporation had also enriched his experience in the areas of finance, corporate planning and investor relations. He had worked with international consultants in the business transformation programme and also for many years was responsible for drafting the Chairman’s Statement and Managing Director’s Report for the corporation’s Annual Report. He had served in various positions in an investment bank with experience mainly in internal auditing and risk management.</w:t>
            </w:r>
          </w:p>
          <w:p w:rsidR="00852D08" w:rsidRPr="00852D08" w:rsidRDefault="00852D08" w:rsidP="006F0DD1">
            <w:pPr>
              <w:rPr>
                <w:rFonts w:asciiTheme="minorHAnsi" w:hAnsiTheme="minorHAnsi" w:cstheme="minorHAnsi"/>
                <w:b/>
                <w:szCs w:val="22"/>
              </w:rPr>
            </w:pPr>
          </w:p>
          <w:p w:rsidR="00852D08" w:rsidRPr="00852D08" w:rsidRDefault="00852D08" w:rsidP="006F0DD1">
            <w:pPr>
              <w:rPr>
                <w:rFonts w:asciiTheme="minorHAnsi" w:hAnsiTheme="minorHAnsi" w:cstheme="minorHAnsi"/>
                <w:b/>
                <w:szCs w:val="22"/>
              </w:rPr>
            </w:pPr>
          </w:p>
          <w:p w:rsidR="00852D08" w:rsidRPr="00852D08" w:rsidRDefault="00852D08" w:rsidP="006F0DD1">
            <w:pPr>
              <w:rPr>
                <w:rFonts w:asciiTheme="minorHAnsi" w:hAnsiTheme="minorHAnsi" w:cstheme="minorHAnsi"/>
                <w:b/>
                <w:szCs w:val="22"/>
              </w:rPr>
            </w:pPr>
          </w:p>
          <w:p w:rsidR="00852D08" w:rsidRPr="00852D08" w:rsidRDefault="00852D08" w:rsidP="006F0DD1">
            <w:pPr>
              <w:rPr>
                <w:rFonts w:asciiTheme="minorHAnsi" w:hAnsiTheme="minorHAnsi" w:cstheme="minorHAnsi"/>
                <w:b/>
                <w:szCs w:val="22"/>
              </w:rPr>
            </w:pPr>
          </w:p>
          <w:p w:rsidR="00852D08" w:rsidRPr="00852D08" w:rsidRDefault="00852D08" w:rsidP="006F0DD1">
            <w:pPr>
              <w:rPr>
                <w:rFonts w:asciiTheme="minorHAnsi" w:hAnsiTheme="minorHAnsi" w:cstheme="minorHAnsi"/>
                <w:b/>
                <w:szCs w:val="22"/>
              </w:rPr>
            </w:pPr>
          </w:p>
          <w:p w:rsidR="00852D08" w:rsidRPr="00852D08" w:rsidRDefault="00852D08" w:rsidP="006F0DD1">
            <w:pPr>
              <w:rPr>
                <w:rFonts w:asciiTheme="minorHAnsi" w:hAnsiTheme="minorHAnsi" w:cstheme="minorHAnsi"/>
                <w:b/>
                <w:szCs w:val="22"/>
              </w:rPr>
            </w:pPr>
          </w:p>
          <w:p w:rsidR="00852D08" w:rsidRPr="00852D08" w:rsidRDefault="00852D08" w:rsidP="006F0DD1">
            <w:pPr>
              <w:rPr>
                <w:rFonts w:asciiTheme="minorHAnsi" w:hAnsiTheme="minorHAnsi" w:cstheme="minorHAnsi"/>
                <w:b/>
                <w:szCs w:val="22"/>
              </w:rPr>
            </w:pPr>
          </w:p>
          <w:p w:rsidR="00852D08" w:rsidRPr="00852D08" w:rsidRDefault="00852D08" w:rsidP="00852D08">
            <w:pPr>
              <w:rPr>
                <w:rFonts w:asciiTheme="minorHAnsi" w:hAnsiTheme="minorHAnsi" w:cstheme="minorHAnsi"/>
                <w:szCs w:val="22"/>
              </w:rPr>
            </w:pPr>
          </w:p>
        </w:tc>
      </w:tr>
    </w:tbl>
    <w:p w:rsidR="00CE7D87" w:rsidRDefault="00CE7D87" w:rsidP="00D35263">
      <w:pPr>
        <w:jc w:val="center"/>
        <w:rPr>
          <w:rFonts w:asciiTheme="majorHAnsi" w:hAnsiTheme="majorHAnsi"/>
          <w:sz w:val="28"/>
          <w:szCs w:val="28"/>
          <w:u w:val="single"/>
        </w:rPr>
      </w:pPr>
    </w:p>
    <w:p w:rsidR="00CE7D87" w:rsidRDefault="00CE7D87" w:rsidP="00D35263">
      <w:pPr>
        <w:jc w:val="center"/>
        <w:rPr>
          <w:rFonts w:asciiTheme="majorHAnsi" w:hAnsiTheme="majorHAnsi"/>
          <w:sz w:val="28"/>
          <w:szCs w:val="28"/>
          <w:u w:val="single"/>
        </w:rPr>
      </w:pPr>
    </w:p>
    <w:p w:rsidR="00CE7D87" w:rsidRDefault="00CE7D87" w:rsidP="00D35263">
      <w:pPr>
        <w:jc w:val="center"/>
        <w:rPr>
          <w:rFonts w:asciiTheme="majorHAnsi" w:hAnsiTheme="majorHAnsi"/>
          <w:sz w:val="28"/>
          <w:szCs w:val="28"/>
          <w:u w:val="single"/>
        </w:rPr>
      </w:pPr>
    </w:p>
    <w:p w:rsidR="00CE7D87" w:rsidRDefault="00CE7D87" w:rsidP="00852D08">
      <w:pPr>
        <w:rPr>
          <w:rFonts w:asciiTheme="majorHAnsi" w:hAnsiTheme="majorHAnsi"/>
          <w:sz w:val="28"/>
          <w:szCs w:val="28"/>
          <w:u w:val="single"/>
        </w:rPr>
      </w:pPr>
    </w:p>
    <w:p w:rsidR="00CE7D87" w:rsidRDefault="00CE7D87" w:rsidP="00D35263">
      <w:pPr>
        <w:jc w:val="center"/>
        <w:rPr>
          <w:rFonts w:asciiTheme="majorHAnsi" w:hAnsiTheme="majorHAnsi"/>
          <w:sz w:val="28"/>
          <w:szCs w:val="28"/>
          <w:u w:val="single"/>
        </w:rPr>
      </w:pPr>
    </w:p>
    <w:p w:rsidR="00DB4972" w:rsidRDefault="00DB4972" w:rsidP="00D35263">
      <w:pPr>
        <w:jc w:val="center"/>
        <w:rPr>
          <w:rFonts w:asciiTheme="majorHAnsi" w:hAnsiTheme="majorHAnsi"/>
          <w:sz w:val="28"/>
          <w:szCs w:val="28"/>
          <w:u w:val="single"/>
        </w:rPr>
      </w:pPr>
    </w:p>
    <w:p w:rsidR="00852D08" w:rsidRDefault="00852D08"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7C628C" w:rsidRPr="007C628C" w:rsidRDefault="007C628C" w:rsidP="007C628C">
      <w:pPr>
        <w:jc w:val="center"/>
        <w:rPr>
          <w:rFonts w:asciiTheme="majorHAnsi" w:eastAsiaTheme="majorEastAsia" w:hAnsiTheme="majorHAnsi" w:cstheme="majorBidi"/>
          <w:b/>
          <w:bCs/>
          <w:color w:val="365F91" w:themeColor="accent1" w:themeShade="BF"/>
          <w:sz w:val="36"/>
          <w:szCs w:val="36"/>
        </w:rPr>
      </w:pPr>
      <w:r w:rsidRPr="007C628C">
        <w:rPr>
          <w:rFonts w:asciiTheme="majorHAnsi" w:eastAsiaTheme="majorEastAsia" w:hAnsiTheme="majorHAnsi" w:cstheme="majorBidi"/>
          <w:b/>
          <w:bCs/>
          <w:color w:val="365F91" w:themeColor="accent1" w:themeShade="BF"/>
          <w:sz w:val="36"/>
          <w:szCs w:val="36"/>
        </w:rPr>
        <w:t xml:space="preserve">CORPORATE REPORTING: </w:t>
      </w:r>
    </w:p>
    <w:p w:rsidR="000D57B6" w:rsidRDefault="007C628C" w:rsidP="007C628C">
      <w:pPr>
        <w:jc w:val="center"/>
        <w:rPr>
          <w:rFonts w:asciiTheme="minorHAnsi" w:hAnsiTheme="minorHAnsi"/>
          <w:sz w:val="24"/>
          <w:szCs w:val="24"/>
        </w:rPr>
      </w:pPr>
      <w:r w:rsidRPr="007C628C">
        <w:rPr>
          <w:rFonts w:asciiTheme="majorHAnsi" w:eastAsiaTheme="majorEastAsia" w:hAnsiTheme="majorHAnsi" w:cstheme="majorBidi"/>
          <w:b/>
          <w:bCs/>
          <w:color w:val="365F91" w:themeColor="accent1" w:themeShade="BF"/>
          <w:sz w:val="36"/>
          <w:szCs w:val="36"/>
        </w:rPr>
        <w:t>Best Practices – Unravelling Annual Reports and Uncovering the Gems</w:t>
      </w:r>
      <w:r w:rsidR="006807E9">
        <w:rPr>
          <w:rFonts w:asciiTheme="minorHAnsi" w:hAnsiTheme="minorHAnsi"/>
          <w:sz w:val="24"/>
          <w:szCs w:val="24"/>
        </w:rPr>
        <w:br/>
      </w:r>
      <w:r w:rsidR="000D57B6">
        <w:rPr>
          <w:rFonts w:asciiTheme="minorHAnsi" w:hAnsiTheme="minorHAnsi"/>
          <w:sz w:val="24"/>
          <w:szCs w:val="24"/>
        </w:rPr>
        <w:t>0900 – 1</w:t>
      </w:r>
      <w:r w:rsidR="005B3D4D">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p>
    <w:p w:rsidR="00DA5499" w:rsidRDefault="00DA5499" w:rsidP="007C628C">
      <w:pPr>
        <w:jc w:val="center"/>
        <w:rPr>
          <w:rFonts w:asciiTheme="minorHAnsi" w:hAnsiTheme="minorHAnsi"/>
          <w:sz w:val="24"/>
          <w:szCs w:val="24"/>
        </w:rPr>
      </w:pPr>
      <w:r>
        <w:rPr>
          <w:rFonts w:asciiTheme="minorHAnsi" w:hAnsiTheme="minorHAnsi"/>
          <w:sz w:val="24"/>
          <w:szCs w:val="24"/>
        </w:rPr>
        <w:t>Hilton Petaling Jaya</w:t>
      </w:r>
    </w:p>
    <w:p w:rsidR="006807E9" w:rsidRPr="000D57B6" w:rsidRDefault="006807E9" w:rsidP="000D57B6">
      <w:pPr>
        <w:jc w:val="center"/>
        <w:rPr>
          <w:rFonts w:asciiTheme="minorHAnsi" w:hAnsiTheme="minorHAnsi"/>
          <w:sz w:val="24"/>
          <w:szCs w:val="24"/>
        </w:rPr>
      </w:pPr>
    </w:p>
    <w:p w:rsidR="004E6547" w:rsidRDefault="004E6547"/>
    <w:p w:rsidR="00E76169" w:rsidRPr="00905EED" w:rsidRDefault="00E4424D">
      <w:pPr>
        <w:rPr>
          <w:rFonts w:asciiTheme="minorHAnsi" w:hAnsiTheme="minorHAnsi"/>
          <w:i/>
          <w:iCs/>
          <w:sz w:val="24"/>
          <w:szCs w:val="24"/>
        </w:rPr>
      </w:pPr>
      <w:r w:rsidRPr="00E4424D">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r w:rsidR="00905EED">
        <w:rPr>
          <w:rFonts w:asciiTheme="minorHAnsi" w:hAnsiTheme="minorHAnsi"/>
          <w:sz w:val="24"/>
          <w:szCs w:val="24"/>
        </w:rPr>
        <w:t xml:space="preserve"> </w:t>
      </w:r>
      <w:r w:rsidR="00905EED" w:rsidRPr="00905EED">
        <w:rPr>
          <w:rFonts w:asciiTheme="minorHAnsi" w:hAnsiTheme="minorHAnsi"/>
          <w:b/>
          <w:bCs/>
          <w:i/>
          <w:iCs/>
          <w:sz w:val="24"/>
          <w:szCs w:val="24"/>
        </w:rPr>
        <w:t>(2017)</w:t>
      </w:r>
    </w:p>
    <w:p w:rsidR="004E6547" w:rsidRDefault="004E6547"/>
    <w:tbl>
      <w:tblPr>
        <w:tblStyle w:val="ColorfulShading-Accent5"/>
        <w:tblW w:w="9257" w:type="dxa"/>
        <w:tblLook w:val="04A0"/>
      </w:tblPr>
      <w:tblGrid>
        <w:gridCol w:w="1851"/>
        <w:gridCol w:w="1851"/>
        <w:gridCol w:w="1851"/>
        <w:gridCol w:w="1852"/>
        <w:gridCol w:w="1852"/>
      </w:tblGrid>
      <w:tr w:rsidR="00876BA1" w:rsidRPr="00876BA1" w:rsidTr="009216D1">
        <w:trPr>
          <w:cnfStyle w:val="100000000000"/>
          <w:trHeight w:val="415"/>
        </w:trPr>
        <w:tc>
          <w:tcPr>
            <w:cnfStyle w:val="001000000100"/>
            <w:tcW w:w="1851" w:type="dxa"/>
          </w:tcPr>
          <w:p w:rsidR="00876BA1" w:rsidRPr="00876BA1" w:rsidRDefault="00876BA1" w:rsidP="00876BA1">
            <w:pPr>
              <w:pStyle w:val="Heading2"/>
              <w:jc w:val="left"/>
              <w:outlineLvl w:val="1"/>
              <w:rPr>
                <w:rFonts w:asciiTheme="minorHAnsi" w:hAnsiTheme="minorHAnsi" w:cstheme="minorHAnsi"/>
                <w:szCs w:val="24"/>
              </w:rPr>
            </w:pPr>
            <w:r>
              <w:rPr>
                <w:rFonts w:asciiTheme="minorHAnsi" w:hAnsiTheme="minorHAnsi" w:cstheme="minorHAnsi"/>
                <w:szCs w:val="24"/>
              </w:rPr>
              <w:sym w:font="Wingdings 2" w:char="F0A3"/>
            </w:r>
            <w:r>
              <w:rPr>
                <w:rFonts w:asciiTheme="minorHAnsi" w:hAnsiTheme="minorHAnsi" w:cstheme="minorHAnsi"/>
                <w:szCs w:val="24"/>
              </w:rPr>
              <w:t xml:space="preserve"> </w:t>
            </w:r>
            <w:r w:rsidR="00905EED">
              <w:rPr>
                <w:rFonts w:asciiTheme="minorHAnsi" w:hAnsiTheme="minorHAnsi" w:cstheme="minorHAnsi"/>
                <w:szCs w:val="24"/>
              </w:rPr>
              <w:t xml:space="preserve"> </w:t>
            </w:r>
            <w:r>
              <w:rPr>
                <w:rFonts w:asciiTheme="minorHAnsi" w:hAnsiTheme="minorHAnsi" w:cstheme="minorHAnsi"/>
                <w:szCs w:val="24"/>
              </w:rPr>
              <w:t>16 FEB</w:t>
            </w:r>
          </w:p>
        </w:tc>
        <w:tc>
          <w:tcPr>
            <w:tcW w:w="1851" w:type="dxa"/>
          </w:tcPr>
          <w:p w:rsidR="00876BA1" w:rsidRPr="00876BA1" w:rsidRDefault="00876BA1" w:rsidP="00876BA1">
            <w:pPr>
              <w:pStyle w:val="Heading2"/>
              <w:jc w:val="left"/>
              <w:outlineLvl w:val="1"/>
              <w:cnfStyle w:val="100000000000"/>
              <w:rPr>
                <w:rFonts w:asciiTheme="minorHAnsi" w:hAnsiTheme="minorHAnsi" w:cstheme="minorHAnsi"/>
                <w:szCs w:val="24"/>
              </w:rPr>
            </w:pPr>
            <w:r>
              <w:rPr>
                <w:rFonts w:asciiTheme="minorHAnsi" w:hAnsiTheme="minorHAnsi" w:cstheme="minorHAnsi"/>
                <w:szCs w:val="24"/>
              </w:rPr>
              <w:sym w:font="Wingdings 2" w:char="F0A3"/>
            </w:r>
            <w:r>
              <w:rPr>
                <w:rFonts w:asciiTheme="minorHAnsi" w:hAnsiTheme="minorHAnsi" w:cstheme="minorHAnsi"/>
                <w:szCs w:val="24"/>
              </w:rPr>
              <w:t xml:space="preserve"> </w:t>
            </w:r>
            <w:r w:rsidR="00905EED">
              <w:rPr>
                <w:rFonts w:asciiTheme="minorHAnsi" w:hAnsiTheme="minorHAnsi" w:cstheme="minorHAnsi"/>
                <w:szCs w:val="24"/>
              </w:rPr>
              <w:t xml:space="preserve"> </w:t>
            </w:r>
            <w:r>
              <w:rPr>
                <w:rFonts w:asciiTheme="minorHAnsi" w:hAnsiTheme="minorHAnsi" w:cstheme="minorHAnsi"/>
                <w:szCs w:val="24"/>
              </w:rPr>
              <w:t>16 MAR</w:t>
            </w:r>
          </w:p>
        </w:tc>
        <w:tc>
          <w:tcPr>
            <w:tcW w:w="1851" w:type="dxa"/>
          </w:tcPr>
          <w:p w:rsidR="00876BA1" w:rsidRPr="00876BA1" w:rsidRDefault="00876BA1" w:rsidP="00876BA1">
            <w:pPr>
              <w:pStyle w:val="Heading2"/>
              <w:jc w:val="left"/>
              <w:outlineLvl w:val="1"/>
              <w:cnfStyle w:val="100000000000"/>
              <w:rPr>
                <w:rFonts w:asciiTheme="minorHAnsi" w:hAnsiTheme="minorHAnsi" w:cstheme="minorHAnsi"/>
                <w:szCs w:val="24"/>
              </w:rPr>
            </w:pPr>
            <w:r>
              <w:rPr>
                <w:rFonts w:asciiTheme="minorHAnsi" w:hAnsiTheme="minorHAnsi" w:cstheme="minorHAnsi"/>
                <w:szCs w:val="24"/>
              </w:rPr>
              <w:sym w:font="Wingdings 2" w:char="F0A3"/>
            </w:r>
            <w:r>
              <w:rPr>
                <w:rFonts w:asciiTheme="minorHAnsi" w:hAnsiTheme="minorHAnsi" w:cstheme="minorHAnsi"/>
                <w:szCs w:val="24"/>
              </w:rPr>
              <w:t xml:space="preserve"> </w:t>
            </w:r>
            <w:r w:rsidR="00905EED">
              <w:rPr>
                <w:rFonts w:asciiTheme="minorHAnsi" w:hAnsiTheme="minorHAnsi" w:cstheme="minorHAnsi"/>
                <w:szCs w:val="24"/>
              </w:rPr>
              <w:t xml:space="preserve"> </w:t>
            </w:r>
            <w:r>
              <w:rPr>
                <w:rFonts w:asciiTheme="minorHAnsi" w:hAnsiTheme="minorHAnsi" w:cstheme="minorHAnsi"/>
                <w:szCs w:val="24"/>
              </w:rPr>
              <w:t>06 APR</w:t>
            </w:r>
          </w:p>
        </w:tc>
        <w:tc>
          <w:tcPr>
            <w:tcW w:w="1852" w:type="dxa"/>
          </w:tcPr>
          <w:p w:rsidR="00876BA1" w:rsidRPr="00876BA1" w:rsidRDefault="00876BA1" w:rsidP="00876BA1">
            <w:pPr>
              <w:pStyle w:val="Heading2"/>
              <w:jc w:val="left"/>
              <w:outlineLvl w:val="1"/>
              <w:cnfStyle w:val="100000000000"/>
              <w:rPr>
                <w:rFonts w:asciiTheme="minorHAnsi" w:hAnsiTheme="minorHAnsi" w:cstheme="minorHAnsi"/>
                <w:szCs w:val="24"/>
              </w:rPr>
            </w:pPr>
            <w:r>
              <w:rPr>
                <w:rFonts w:asciiTheme="minorHAnsi" w:hAnsiTheme="minorHAnsi" w:cstheme="minorHAnsi"/>
                <w:szCs w:val="24"/>
              </w:rPr>
              <w:sym w:font="Wingdings 2" w:char="F0A3"/>
            </w:r>
            <w:r>
              <w:rPr>
                <w:rFonts w:asciiTheme="minorHAnsi" w:hAnsiTheme="minorHAnsi" w:cstheme="minorHAnsi"/>
                <w:szCs w:val="24"/>
              </w:rPr>
              <w:t xml:space="preserve"> </w:t>
            </w:r>
            <w:r w:rsidR="00905EED">
              <w:rPr>
                <w:rFonts w:asciiTheme="minorHAnsi" w:hAnsiTheme="minorHAnsi" w:cstheme="minorHAnsi"/>
                <w:szCs w:val="24"/>
              </w:rPr>
              <w:t xml:space="preserve"> </w:t>
            </w:r>
            <w:r>
              <w:rPr>
                <w:rFonts w:asciiTheme="minorHAnsi" w:hAnsiTheme="minorHAnsi" w:cstheme="minorHAnsi"/>
                <w:szCs w:val="24"/>
              </w:rPr>
              <w:t>25 MAY</w:t>
            </w:r>
          </w:p>
        </w:tc>
        <w:tc>
          <w:tcPr>
            <w:tcW w:w="1852" w:type="dxa"/>
          </w:tcPr>
          <w:p w:rsidR="00876BA1" w:rsidRPr="00876BA1" w:rsidRDefault="00876BA1" w:rsidP="00876BA1">
            <w:pPr>
              <w:pStyle w:val="Heading2"/>
              <w:jc w:val="left"/>
              <w:outlineLvl w:val="1"/>
              <w:cnfStyle w:val="100000000000"/>
              <w:rPr>
                <w:rFonts w:asciiTheme="minorHAnsi" w:hAnsiTheme="minorHAnsi" w:cstheme="minorHAnsi"/>
                <w:szCs w:val="24"/>
              </w:rPr>
            </w:pPr>
            <w:r>
              <w:rPr>
                <w:rFonts w:asciiTheme="minorHAnsi" w:hAnsiTheme="minorHAnsi" w:cstheme="minorHAnsi"/>
                <w:szCs w:val="24"/>
              </w:rPr>
              <w:sym w:font="Wingdings 2" w:char="F0A3"/>
            </w:r>
            <w:r>
              <w:rPr>
                <w:rFonts w:asciiTheme="minorHAnsi" w:hAnsiTheme="minorHAnsi" w:cstheme="minorHAnsi"/>
                <w:szCs w:val="24"/>
              </w:rPr>
              <w:t xml:space="preserve"> </w:t>
            </w:r>
            <w:r w:rsidR="00905EED">
              <w:rPr>
                <w:rFonts w:asciiTheme="minorHAnsi" w:hAnsiTheme="minorHAnsi" w:cstheme="minorHAnsi"/>
                <w:szCs w:val="24"/>
              </w:rPr>
              <w:t xml:space="preserve"> </w:t>
            </w:r>
            <w:r>
              <w:rPr>
                <w:rFonts w:asciiTheme="minorHAnsi" w:hAnsiTheme="minorHAnsi" w:cstheme="minorHAnsi"/>
                <w:szCs w:val="24"/>
              </w:rPr>
              <w:t>05 JUN</w:t>
            </w:r>
          </w:p>
        </w:tc>
      </w:tr>
    </w:tbl>
    <w:p w:rsidR="0027004C" w:rsidRDefault="0027004C" w:rsidP="002D40CE">
      <w:pPr>
        <w:pStyle w:val="Heading2"/>
        <w:jc w:val="left"/>
        <w:rPr>
          <w:sz w:val="16"/>
          <w:szCs w:val="16"/>
        </w:rPr>
      </w:pPr>
    </w:p>
    <w:p w:rsidR="004E6547" w:rsidRDefault="00E4424D" w:rsidP="00E76169">
      <w:pPr>
        <w:rPr>
          <w:rFonts w:asciiTheme="minorHAnsi" w:hAnsiTheme="minorHAnsi"/>
          <w:sz w:val="24"/>
          <w:szCs w:val="24"/>
        </w:rPr>
      </w:pPr>
      <w:r w:rsidRPr="00E4424D">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5B3D4D" w:rsidRDefault="00E4424D"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TO REGISTER, PLEASE CALL 03-7958 8001 / 03-7958 8002 OR</w:t>
      </w:r>
    </w:p>
    <w:p w:rsidR="005B3D4D"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5B3D4D">
        <w:rPr>
          <w:rFonts w:asciiTheme="minorHAnsi" w:hAnsiTheme="minorHAnsi"/>
          <w:noProof/>
          <w:sz w:val="24"/>
          <w:szCs w:val="24"/>
          <w:lang w:val="en-US"/>
        </w:rPr>
        <w:t xml:space="preserve"> </w:t>
      </w:r>
      <w:r w:rsidRPr="00E94F5F">
        <w:rPr>
          <w:rFonts w:asciiTheme="minorHAnsi" w:hAnsiTheme="minorHAnsi"/>
          <w:noProof/>
          <w:sz w:val="24"/>
          <w:szCs w:val="24"/>
          <w:lang w:val="en-US"/>
        </w:rPr>
        <w:t>03-7954 800</w:t>
      </w:r>
      <w:r w:rsidR="004B0F39">
        <w:rPr>
          <w:rFonts w:asciiTheme="minorHAnsi" w:hAnsiTheme="minorHAnsi"/>
          <w:noProof/>
          <w:sz w:val="24"/>
          <w:szCs w:val="24"/>
          <w:lang w:val="en-US"/>
        </w:rPr>
        <w:t>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E-MAIL TO: sophiah@bursatra.com.my</w:t>
      </w:r>
    </w:p>
    <w:p w:rsidR="00E76169" w:rsidRDefault="00E76169" w:rsidP="00E76169">
      <w:pPr>
        <w:jc w:val="center"/>
        <w:rPr>
          <w:rFonts w:asciiTheme="minorHAnsi" w:hAnsiTheme="minorHAnsi"/>
          <w:sz w:val="24"/>
          <w:szCs w:val="24"/>
        </w:rPr>
      </w:pPr>
    </w:p>
    <w:p w:rsidR="00DA5499" w:rsidRDefault="00DA5499" w:rsidP="00E76169">
      <w:pPr>
        <w:jc w:val="center"/>
        <w:rPr>
          <w:rFonts w:asciiTheme="minorHAnsi" w:hAnsiTheme="minorHAnsi"/>
          <w:sz w:val="24"/>
          <w:szCs w:val="24"/>
        </w:rPr>
      </w:pPr>
    </w:p>
    <w:p w:rsidR="00DA5499" w:rsidRPr="00DA5499" w:rsidRDefault="00DA5499" w:rsidP="00E76169">
      <w:pPr>
        <w:jc w:val="center"/>
        <w:rPr>
          <w:rFonts w:asciiTheme="minorHAnsi" w:hAnsiTheme="minorHAnsi"/>
          <w:sz w:val="20"/>
        </w:rPr>
      </w:pPr>
      <w:r w:rsidRPr="00DA5499">
        <w:rPr>
          <w:rFonts w:asciiTheme="minorHAnsi" w:hAnsiTheme="minorHAnsi"/>
          <w:sz w:val="20"/>
        </w:rPr>
        <w:t>BURSATRA SDN BHD IS A REGISTERED TRAINING PROVIDER WITH PSMB (Reg. No: 520353-U)</w:t>
      </w:r>
    </w:p>
    <w:sectPr w:rsidR="00DA5499" w:rsidRPr="00DA5499" w:rsidSect="00DB4972">
      <w:type w:val="continuous"/>
      <w:pgSz w:w="11906" w:h="16838" w:code="9"/>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FDC" w:rsidRDefault="000D1FDC">
      <w:r>
        <w:separator/>
      </w:r>
    </w:p>
  </w:endnote>
  <w:endnote w:type="continuationSeparator" w:id="1">
    <w:p w:rsidR="000D1FDC" w:rsidRDefault="000D1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FDC" w:rsidRDefault="000D1FDC">
      <w:r>
        <w:separator/>
      </w:r>
    </w:p>
  </w:footnote>
  <w:footnote w:type="continuationSeparator" w:id="1">
    <w:p w:rsidR="000D1FDC" w:rsidRDefault="000D1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E442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E4424D" w:rsidP="00C24690">
    <w:pPr>
      <w:pStyle w:val="Heading5"/>
      <w:ind w:left="-810" w:hanging="90"/>
      <w:rPr>
        <w:rFonts w:ascii="Century Gothic" w:hAnsi="Century Gothic"/>
        <w:i w:val="0"/>
        <w:iCs/>
        <w:sz w:val="24"/>
        <w:szCs w:val="24"/>
      </w:rPr>
    </w:pPr>
    <w:r w:rsidRPr="00E4424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E442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329F"/>
    <w:multiLevelType w:val="hybridMultilevel"/>
    <w:tmpl w:val="6EF630D6"/>
    <w:lvl w:ilvl="0" w:tplc="D8D0623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D61C6B"/>
    <w:multiLevelType w:val="hybridMultilevel"/>
    <w:tmpl w:val="D2E06E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17E67F14"/>
    <w:multiLevelType w:val="hybridMultilevel"/>
    <w:tmpl w:val="0F801BA4"/>
    <w:lvl w:ilvl="0" w:tplc="44090001">
      <w:start w:val="1"/>
      <w:numFmt w:val="bullet"/>
      <w:lvlText w:val=""/>
      <w:lvlJc w:val="left"/>
      <w:pPr>
        <w:ind w:left="1146" w:hanging="360"/>
      </w:pPr>
      <w:rPr>
        <w:rFonts w:ascii="Symbol" w:hAnsi="Symbol"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3">
    <w:nsid w:val="1F885E1B"/>
    <w:multiLevelType w:val="hybridMultilevel"/>
    <w:tmpl w:val="F2821E38"/>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
    <w:nsid w:val="22235C4E"/>
    <w:multiLevelType w:val="hybridMultilevel"/>
    <w:tmpl w:val="CE8699F2"/>
    <w:lvl w:ilvl="0" w:tplc="D8D06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2B7A3040"/>
    <w:multiLevelType w:val="hybridMultilevel"/>
    <w:tmpl w:val="A4A8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C82546"/>
    <w:multiLevelType w:val="hybridMultilevel"/>
    <w:tmpl w:val="92FC3418"/>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8">
    <w:nsid w:val="654D189E"/>
    <w:multiLevelType w:val="hybridMultilevel"/>
    <w:tmpl w:val="0D5CD068"/>
    <w:lvl w:ilvl="0" w:tplc="D8D06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CED7DBA"/>
    <w:multiLevelType w:val="hybridMultilevel"/>
    <w:tmpl w:val="356CC306"/>
    <w:lvl w:ilvl="0" w:tplc="D8D0623C">
      <w:start w:val="1"/>
      <w:numFmt w:val="decimal"/>
      <w:lvlText w:val="%1."/>
      <w:lvlJc w:val="left"/>
      <w:pPr>
        <w:ind w:left="426" w:hanging="720"/>
      </w:pPr>
      <w:rPr>
        <w:rFonts w:hint="default"/>
      </w:rPr>
    </w:lvl>
    <w:lvl w:ilvl="1" w:tplc="04090019" w:tentative="1">
      <w:start w:val="1"/>
      <w:numFmt w:val="lowerLetter"/>
      <w:lvlText w:val="%2."/>
      <w:lvlJc w:val="left"/>
      <w:pPr>
        <w:ind w:left="786" w:hanging="360"/>
      </w:pPr>
    </w:lvl>
    <w:lvl w:ilvl="2" w:tplc="0409001B" w:tentative="1">
      <w:start w:val="1"/>
      <w:numFmt w:val="lowerRoman"/>
      <w:lvlText w:val="%3."/>
      <w:lvlJc w:val="right"/>
      <w:pPr>
        <w:ind w:left="1506" w:hanging="180"/>
      </w:pPr>
    </w:lvl>
    <w:lvl w:ilvl="3" w:tplc="0409000F" w:tentative="1">
      <w:start w:val="1"/>
      <w:numFmt w:val="decimal"/>
      <w:lvlText w:val="%4."/>
      <w:lvlJc w:val="left"/>
      <w:pPr>
        <w:ind w:left="2226" w:hanging="360"/>
      </w:pPr>
    </w:lvl>
    <w:lvl w:ilvl="4" w:tplc="04090019" w:tentative="1">
      <w:start w:val="1"/>
      <w:numFmt w:val="lowerLetter"/>
      <w:lvlText w:val="%5."/>
      <w:lvlJc w:val="left"/>
      <w:pPr>
        <w:ind w:left="2946" w:hanging="360"/>
      </w:pPr>
    </w:lvl>
    <w:lvl w:ilvl="5" w:tplc="0409001B" w:tentative="1">
      <w:start w:val="1"/>
      <w:numFmt w:val="lowerRoman"/>
      <w:lvlText w:val="%6."/>
      <w:lvlJc w:val="right"/>
      <w:pPr>
        <w:ind w:left="3666" w:hanging="180"/>
      </w:pPr>
    </w:lvl>
    <w:lvl w:ilvl="6" w:tplc="0409000F" w:tentative="1">
      <w:start w:val="1"/>
      <w:numFmt w:val="decimal"/>
      <w:lvlText w:val="%7."/>
      <w:lvlJc w:val="left"/>
      <w:pPr>
        <w:ind w:left="4386" w:hanging="360"/>
      </w:pPr>
    </w:lvl>
    <w:lvl w:ilvl="7" w:tplc="04090019" w:tentative="1">
      <w:start w:val="1"/>
      <w:numFmt w:val="lowerLetter"/>
      <w:lvlText w:val="%8."/>
      <w:lvlJc w:val="left"/>
      <w:pPr>
        <w:ind w:left="5106" w:hanging="360"/>
      </w:pPr>
    </w:lvl>
    <w:lvl w:ilvl="8" w:tplc="0409001B" w:tentative="1">
      <w:start w:val="1"/>
      <w:numFmt w:val="lowerRoman"/>
      <w:lvlText w:val="%9."/>
      <w:lvlJc w:val="right"/>
      <w:pPr>
        <w:ind w:left="5826" w:hanging="180"/>
      </w:pPr>
    </w:lvl>
  </w:abstractNum>
  <w:abstractNum w:abstractNumId="11">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9"/>
  </w:num>
  <w:num w:numId="4">
    <w:abstractNumId w:val="6"/>
  </w:num>
  <w:num w:numId="5">
    <w:abstractNumId w:val="8"/>
  </w:num>
  <w:num w:numId="6">
    <w:abstractNumId w:val="0"/>
  </w:num>
  <w:num w:numId="7">
    <w:abstractNumId w:val="4"/>
  </w:num>
  <w:num w:numId="8">
    <w:abstractNumId w:val="10"/>
  </w:num>
  <w:num w:numId="9">
    <w:abstractNumId w:val="7"/>
  </w:num>
  <w:num w:numId="10">
    <w:abstractNumId w:val="3"/>
  </w:num>
  <w:num w:numId="11">
    <w:abstractNumId w:val="1"/>
  </w:num>
  <w:num w:numId="12">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29698">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647BD"/>
    <w:rsid w:val="0007186D"/>
    <w:rsid w:val="00075DF3"/>
    <w:rsid w:val="00081B8C"/>
    <w:rsid w:val="00082CA1"/>
    <w:rsid w:val="00093A93"/>
    <w:rsid w:val="000B2E94"/>
    <w:rsid w:val="000C4D0F"/>
    <w:rsid w:val="000D1FDC"/>
    <w:rsid w:val="000D35F4"/>
    <w:rsid w:val="000D57B6"/>
    <w:rsid w:val="000D5EF0"/>
    <w:rsid w:val="000D6092"/>
    <w:rsid w:val="000D7E9F"/>
    <w:rsid w:val="000E00EA"/>
    <w:rsid w:val="000E1528"/>
    <w:rsid w:val="000E7423"/>
    <w:rsid w:val="000F18B0"/>
    <w:rsid w:val="000F1D91"/>
    <w:rsid w:val="000F7359"/>
    <w:rsid w:val="001012CF"/>
    <w:rsid w:val="00101374"/>
    <w:rsid w:val="001034F5"/>
    <w:rsid w:val="00104CCA"/>
    <w:rsid w:val="00104DC9"/>
    <w:rsid w:val="00111448"/>
    <w:rsid w:val="00116013"/>
    <w:rsid w:val="00120F5D"/>
    <w:rsid w:val="001215E3"/>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BB5"/>
    <w:rsid w:val="002056C2"/>
    <w:rsid w:val="00214F22"/>
    <w:rsid w:val="00216333"/>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C286F"/>
    <w:rsid w:val="002D152D"/>
    <w:rsid w:val="002D40CE"/>
    <w:rsid w:val="002D76A9"/>
    <w:rsid w:val="002E6DF0"/>
    <w:rsid w:val="002E6DF1"/>
    <w:rsid w:val="002F32AA"/>
    <w:rsid w:val="002F629E"/>
    <w:rsid w:val="002F679A"/>
    <w:rsid w:val="003215CC"/>
    <w:rsid w:val="00323457"/>
    <w:rsid w:val="003300F6"/>
    <w:rsid w:val="003324DF"/>
    <w:rsid w:val="00336392"/>
    <w:rsid w:val="0034120C"/>
    <w:rsid w:val="00350723"/>
    <w:rsid w:val="0035263B"/>
    <w:rsid w:val="00365E83"/>
    <w:rsid w:val="003670C1"/>
    <w:rsid w:val="003673E3"/>
    <w:rsid w:val="003712FB"/>
    <w:rsid w:val="003739F2"/>
    <w:rsid w:val="00383D4B"/>
    <w:rsid w:val="00387974"/>
    <w:rsid w:val="00387DD8"/>
    <w:rsid w:val="003930BC"/>
    <w:rsid w:val="00394B45"/>
    <w:rsid w:val="003954D3"/>
    <w:rsid w:val="00396CCE"/>
    <w:rsid w:val="003A2DB5"/>
    <w:rsid w:val="003A4E1C"/>
    <w:rsid w:val="003A7382"/>
    <w:rsid w:val="003B0F4B"/>
    <w:rsid w:val="003B3940"/>
    <w:rsid w:val="003B49DF"/>
    <w:rsid w:val="003B5C88"/>
    <w:rsid w:val="003C4202"/>
    <w:rsid w:val="003E086B"/>
    <w:rsid w:val="003E2AB7"/>
    <w:rsid w:val="003F3712"/>
    <w:rsid w:val="003F41F3"/>
    <w:rsid w:val="003F681A"/>
    <w:rsid w:val="003F6F40"/>
    <w:rsid w:val="003F7192"/>
    <w:rsid w:val="004032DA"/>
    <w:rsid w:val="0040695E"/>
    <w:rsid w:val="00410606"/>
    <w:rsid w:val="00410B3A"/>
    <w:rsid w:val="00414805"/>
    <w:rsid w:val="004168F0"/>
    <w:rsid w:val="00436679"/>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0F39"/>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263CB"/>
    <w:rsid w:val="005335E3"/>
    <w:rsid w:val="0053521C"/>
    <w:rsid w:val="005404B1"/>
    <w:rsid w:val="00541103"/>
    <w:rsid w:val="005451F7"/>
    <w:rsid w:val="005632EC"/>
    <w:rsid w:val="00567340"/>
    <w:rsid w:val="00571075"/>
    <w:rsid w:val="005711E9"/>
    <w:rsid w:val="005746AE"/>
    <w:rsid w:val="00577284"/>
    <w:rsid w:val="0058399C"/>
    <w:rsid w:val="00591A8D"/>
    <w:rsid w:val="005A141B"/>
    <w:rsid w:val="005A54CD"/>
    <w:rsid w:val="005B3D4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374D9"/>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AB3"/>
    <w:rsid w:val="006A1CE8"/>
    <w:rsid w:val="006A299A"/>
    <w:rsid w:val="006B11CB"/>
    <w:rsid w:val="006C21AD"/>
    <w:rsid w:val="006C3FD2"/>
    <w:rsid w:val="006C5CB2"/>
    <w:rsid w:val="006D3589"/>
    <w:rsid w:val="006D77A2"/>
    <w:rsid w:val="006E2F0B"/>
    <w:rsid w:val="006F2260"/>
    <w:rsid w:val="006F5FAE"/>
    <w:rsid w:val="0070458F"/>
    <w:rsid w:val="007063EE"/>
    <w:rsid w:val="00706FF6"/>
    <w:rsid w:val="007137FB"/>
    <w:rsid w:val="007158D1"/>
    <w:rsid w:val="00722C3F"/>
    <w:rsid w:val="00726DBB"/>
    <w:rsid w:val="0074177E"/>
    <w:rsid w:val="00742723"/>
    <w:rsid w:val="007466BC"/>
    <w:rsid w:val="00764168"/>
    <w:rsid w:val="00782EDD"/>
    <w:rsid w:val="00784BD4"/>
    <w:rsid w:val="007854DD"/>
    <w:rsid w:val="0079258D"/>
    <w:rsid w:val="007A38E3"/>
    <w:rsid w:val="007A60B4"/>
    <w:rsid w:val="007B4216"/>
    <w:rsid w:val="007C300D"/>
    <w:rsid w:val="007C628C"/>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2D08"/>
    <w:rsid w:val="00854E7E"/>
    <w:rsid w:val="00857F0B"/>
    <w:rsid w:val="008625D4"/>
    <w:rsid w:val="0087164E"/>
    <w:rsid w:val="00873998"/>
    <w:rsid w:val="00876BA1"/>
    <w:rsid w:val="00880F11"/>
    <w:rsid w:val="00882E02"/>
    <w:rsid w:val="00885384"/>
    <w:rsid w:val="00886436"/>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5EED"/>
    <w:rsid w:val="009069EE"/>
    <w:rsid w:val="00911B27"/>
    <w:rsid w:val="00920EFB"/>
    <w:rsid w:val="009216D1"/>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4F9A"/>
    <w:rsid w:val="009A581A"/>
    <w:rsid w:val="009A7D2F"/>
    <w:rsid w:val="009A7DE5"/>
    <w:rsid w:val="009B1017"/>
    <w:rsid w:val="009B4381"/>
    <w:rsid w:val="009C6541"/>
    <w:rsid w:val="009C6919"/>
    <w:rsid w:val="009D03F3"/>
    <w:rsid w:val="009D510E"/>
    <w:rsid w:val="009D5C3B"/>
    <w:rsid w:val="009E77BF"/>
    <w:rsid w:val="00A00F25"/>
    <w:rsid w:val="00A01F70"/>
    <w:rsid w:val="00A06B10"/>
    <w:rsid w:val="00A13919"/>
    <w:rsid w:val="00A2356C"/>
    <w:rsid w:val="00A26477"/>
    <w:rsid w:val="00A5263F"/>
    <w:rsid w:val="00A612A4"/>
    <w:rsid w:val="00A63428"/>
    <w:rsid w:val="00A63981"/>
    <w:rsid w:val="00A72AB9"/>
    <w:rsid w:val="00A80B58"/>
    <w:rsid w:val="00A875B6"/>
    <w:rsid w:val="00A900AF"/>
    <w:rsid w:val="00A91344"/>
    <w:rsid w:val="00A96EDC"/>
    <w:rsid w:val="00AB2E66"/>
    <w:rsid w:val="00AC52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3DAF"/>
    <w:rsid w:val="00B62990"/>
    <w:rsid w:val="00B66D36"/>
    <w:rsid w:val="00B82548"/>
    <w:rsid w:val="00B923DB"/>
    <w:rsid w:val="00B954D2"/>
    <w:rsid w:val="00BA45A9"/>
    <w:rsid w:val="00BB12F9"/>
    <w:rsid w:val="00BB4BE2"/>
    <w:rsid w:val="00BB7731"/>
    <w:rsid w:val="00BC0823"/>
    <w:rsid w:val="00BC2DCA"/>
    <w:rsid w:val="00BC7890"/>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6167"/>
    <w:rsid w:val="00CB7793"/>
    <w:rsid w:val="00CB7EB2"/>
    <w:rsid w:val="00CC2757"/>
    <w:rsid w:val="00CC474A"/>
    <w:rsid w:val="00CD5BFD"/>
    <w:rsid w:val="00CD7721"/>
    <w:rsid w:val="00CE1B47"/>
    <w:rsid w:val="00CE3596"/>
    <w:rsid w:val="00CE387C"/>
    <w:rsid w:val="00CE55B8"/>
    <w:rsid w:val="00CE7D87"/>
    <w:rsid w:val="00CF1225"/>
    <w:rsid w:val="00CF4841"/>
    <w:rsid w:val="00CF66D4"/>
    <w:rsid w:val="00CF77E7"/>
    <w:rsid w:val="00D047FC"/>
    <w:rsid w:val="00D078B6"/>
    <w:rsid w:val="00D12851"/>
    <w:rsid w:val="00D14DD8"/>
    <w:rsid w:val="00D2799C"/>
    <w:rsid w:val="00D33013"/>
    <w:rsid w:val="00D34E2C"/>
    <w:rsid w:val="00D35263"/>
    <w:rsid w:val="00D36AC3"/>
    <w:rsid w:val="00D40D8D"/>
    <w:rsid w:val="00D55B69"/>
    <w:rsid w:val="00D56F3F"/>
    <w:rsid w:val="00D571E5"/>
    <w:rsid w:val="00D67CB4"/>
    <w:rsid w:val="00D70262"/>
    <w:rsid w:val="00D72D6F"/>
    <w:rsid w:val="00D83D4E"/>
    <w:rsid w:val="00D90843"/>
    <w:rsid w:val="00DA5499"/>
    <w:rsid w:val="00DA5FF8"/>
    <w:rsid w:val="00DA7D7A"/>
    <w:rsid w:val="00DB3557"/>
    <w:rsid w:val="00DB4177"/>
    <w:rsid w:val="00DB4972"/>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424D"/>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52516"/>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B169B"/>
    <w:rsid w:val="00FC04B8"/>
    <w:rsid w:val="00FC6399"/>
    <w:rsid w:val="00FD1057"/>
    <w:rsid w:val="00FD181A"/>
    <w:rsid w:val="00FD4A82"/>
    <w:rsid w:val="00FD5265"/>
    <w:rsid w:val="00FD5268"/>
    <w:rsid w:val="00FD781F"/>
    <w:rsid w:val="00FE02C3"/>
    <w:rsid w:val="00FE07B2"/>
    <w:rsid w:val="00FE2715"/>
    <w:rsid w:val="00FF0C67"/>
    <w:rsid w:val="00FF479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table" w:styleId="TableGrid">
    <w:name w:val="Table Grid"/>
    <w:basedOn w:val="TableNormal"/>
    <w:uiPriority w:val="39"/>
    <w:rsid w:val="0087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Shading-Accent5">
    <w:name w:val="Colorful Shading Accent 5"/>
    <w:basedOn w:val="TableNormal"/>
    <w:uiPriority w:val="71"/>
    <w:rsid w:val="009216D1"/>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customStyle="1" w:styleId="BulletText1">
    <w:name w:val="Bullet Text 1"/>
    <w:basedOn w:val="Normal"/>
    <w:rsid w:val="00852D08"/>
    <w:pPr>
      <w:ind w:left="187" w:hanging="187"/>
    </w:pPr>
    <w:rPr>
      <w:rFonts w:ascii="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DCABD-059B-489A-8ED6-37AD0EEC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CORPORATE REPORTING: Best Practices – Unravelling Annual Reports and Uncovering the Gems </vt:lpstr>
    </vt:vector>
  </TitlesOfParts>
  <Company>Bursatra</Company>
  <LinksUpToDate>false</LinksUpToDate>
  <CharactersWithSpaces>5399</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REPORTING: Best Practices – Unravelling Annual Reports and Uncovering the Gems </dc:title>
  <dc:subject>29 Oct 2015</dc:subject>
  <dc:creator>Azlan</dc:creator>
  <cp:keywords/>
  <cp:lastModifiedBy>hp</cp:lastModifiedBy>
  <cp:revision>17</cp:revision>
  <cp:lastPrinted>2017-01-07T08:05:00Z</cp:lastPrinted>
  <dcterms:created xsi:type="dcterms:W3CDTF">2015-09-17T16:43:00Z</dcterms:created>
  <dcterms:modified xsi:type="dcterms:W3CDTF">2017-01-07T08:15:00Z</dcterms:modified>
  <cp:category>CGBP</cp:category>
</cp:coreProperties>
</file>